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790D58" w:rsidRPr="00493E31" w:rsidTr="00555DEF">
        <w:tc>
          <w:tcPr>
            <w:tcW w:w="9180" w:type="dxa"/>
            <w:shd w:val="clear" w:color="auto" w:fill="auto"/>
            <w:vAlign w:val="center"/>
          </w:tcPr>
          <w:p w:rsidR="00790D58" w:rsidRPr="00493E31" w:rsidRDefault="00AF6542" w:rsidP="00493E31">
            <w:pPr>
              <w:spacing w:after="0" w:line="240" w:lineRule="auto"/>
              <w:rPr>
                <w:b/>
                <w:sz w:val="28"/>
                <w:szCs w:val="28"/>
              </w:rPr>
            </w:pPr>
            <w:r>
              <w:rPr>
                <w:b/>
                <w:sz w:val="28"/>
                <w:szCs w:val="28"/>
              </w:rPr>
              <w:t>Wirkungsgrad bei</w:t>
            </w:r>
            <w:r w:rsidR="00DD0A58">
              <w:rPr>
                <w:b/>
                <w:sz w:val="28"/>
                <w:szCs w:val="28"/>
              </w:rPr>
              <w:t>m Wasserkochen</w:t>
            </w:r>
          </w:p>
        </w:tc>
      </w:tr>
    </w:tbl>
    <w:p w:rsidR="00D8025D" w:rsidRDefault="00D8025D" w:rsidP="00F7335A">
      <w:pPr>
        <w:spacing w:after="0" w:line="240" w:lineRule="auto"/>
      </w:pPr>
      <w:r>
        <w:tab/>
      </w:r>
      <w:r>
        <w:tab/>
      </w:r>
      <w:r>
        <w:tab/>
      </w:r>
    </w:p>
    <w:p w:rsidR="00F7335A" w:rsidRDefault="0035399A" w:rsidP="00F7335A">
      <w:pPr>
        <w:spacing w:after="0" w:line="240" w:lineRule="auto"/>
      </w:pPr>
      <w:sdt>
        <w:sdtPr>
          <w:id w:val="-256137952"/>
          <w14:checkbox>
            <w14:checked w14:val="1"/>
            <w14:checkedState w14:val="2612" w14:font="MS Gothic"/>
            <w14:uncheckedState w14:val="2610" w14:font="MS Gothic"/>
          </w14:checkbox>
        </w:sdtPr>
        <w:sdtEndPr/>
        <w:sdtContent>
          <w:r w:rsidR="00784721">
            <w:rPr>
              <w:rFonts w:ascii="MS Gothic" w:eastAsia="MS Gothic" w:hAnsi="MS Gothic" w:hint="eastAsia"/>
            </w:rPr>
            <w:t>☒</w:t>
          </w:r>
        </w:sdtContent>
      </w:sdt>
      <w:r w:rsidR="003F3096">
        <w:t xml:space="preserve"> Lehrerversuch</w:t>
      </w:r>
      <w:r w:rsidR="00F7335A">
        <w:tab/>
      </w:r>
      <w:sdt>
        <w:sdtPr>
          <w:id w:val="2142999356"/>
          <w14:checkbox>
            <w14:checked w14:val="1"/>
            <w14:checkedState w14:val="2612" w14:font="MS Gothic"/>
            <w14:uncheckedState w14:val="2610" w14:font="MS Gothic"/>
          </w14:checkbox>
        </w:sdtPr>
        <w:sdtEndPr/>
        <w:sdtContent>
          <w:r w:rsidR="00DD0A58">
            <w:rPr>
              <w:rFonts w:ascii="MS Gothic" w:eastAsia="MS Gothic" w:hAnsi="MS Gothic" w:hint="eastAsia"/>
            </w:rPr>
            <w:t>☒</w:t>
          </w:r>
        </w:sdtContent>
      </w:sdt>
      <w:r w:rsidR="003F3096" w:rsidRPr="000873A7">
        <w:t xml:space="preserve"> Lehrerversuch</w:t>
      </w:r>
      <w:r w:rsidR="00F7335A" w:rsidRPr="000873A7">
        <w:t xml:space="preserve"> mit Schülerbeteiligung</w:t>
      </w:r>
      <w:r w:rsidR="00F7335A">
        <w:t xml:space="preserve"> </w:t>
      </w:r>
      <w:r w:rsidR="00F7335A">
        <w:tab/>
      </w:r>
      <w:sdt>
        <w:sdtPr>
          <w:id w:val="1723018752"/>
          <w14:checkbox>
            <w14:checked w14:val="1"/>
            <w14:checkedState w14:val="2612" w14:font="MS Gothic"/>
            <w14:uncheckedState w14:val="2610" w14:font="MS Gothic"/>
          </w14:checkbox>
        </w:sdtPr>
        <w:sdtEndPr/>
        <w:sdtContent>
          <w:r w:rsidR="00AF6542">
            <w:rPr>
              <w:rFonts w:ascii="MS Gothic" w:eastAsia="MS Gothic" w:hAnsi="MS Gothic" w:hint="eastAsia"/>
            </w:rPr>
            <w:t>☒</w:t>
          </w:r>
        </w:sdtContent>
      </w:sdt>
      <w:r w:rsidR="003F3096">
        <w:t xml:space="preserve"> Schülerversuch</w:t>
      </w:r>
    </w:p>
    <w:p w:rsidR="00F7335A" w:rsidRDefault="00F7335A" w:rsidP="00F7335A">
      <w:pPr>
        <w:spacing w:after="0" w:line="240" w:lineRule="auto"/>
      </w:pPr>
    </w:p>
    <w:p w:rsidR="00AF6542" w:rsidRPr="00AF6542" w:rsidRDefault="00790D58" w:rsidP="00AF6542">
      <w:pPr>
        <w:spacing w:after="120" w:line="240" w:lineRule="auto"/>
        <w:rPr>
          <w:b/>
        </w:rPr>
      </w:pPr>
      <w:r>
        <w:rPr>
          <w:b/>
        </w:rPr>
        <w:t>Aussagekräftige</w:t>
      </w:r>
      <w:r w:rsidR="003F3096">
        <w:rPr>
          <w:b/>
        </w:rPr>
        <w:t xml:space="preserve"> Beschreibung </w:t>
      </w:r>
      <w:r w:rsidR="00627E47">
        <w:rPr>
          <w:b/>
        </w:rPr>
        <w:t xml:space="preserve">(z. B. Text, Bild, </w:t>
      </w:r>
      <w:r w:rsidR="002F3620">
        <w:rPr>
          <w:b/>
        </w:rPr>
        <w:t xml:space="preserve">Skizze) </w:t>
      </w:r>
      <w:r w:rsidR="003F3096">
        <w:rPr>
          <w:b/>
        </w:rPr>
        <w:t>des Versuchs</w:t>
      </w:r>
      <w:r w:rsidR="00627E47">
        <w:rPr>
          <w:b/>
        </w:rPr>
        <w:t>:</w:t>
      </w:r>
      <w:r w:rsidR="00F97927">
        <w:br/>
      </w:r>
    </w:p>
    <w:tbl>
      <w:tblPr>
        <w:tblStyle w:val="Tabellenraster"/>
        <w:tblW w:w="0" w:type="auto"/>
        <w:tblLook w:val="04A0" w:firstRow="1" w:lastRow="0" w:firstColumn="1" w:lastColumn="0" w:noHBand="0" w:noVBand="1"/>
      </w:tblPr>
      <w:tblGrid>
        <w:gridCol w:w="3510"/>
        <w:gridCol w:w="5670"/>
      </w:tblGrid>
      <w:tr w:rsidR="00AF6542" w:rsidTr="00686D30">
        <w:tc>
          <w:tcPr>
            <w:tcW w:w="9180" w:type="dxa"/>
            <w:gridSpan w:val="2"/>
          </w:tcPr>
          <w:p w:rsidR="00BF6EBF" w:rsidRPr="00784721" w:rsidRDefault="00AF6542" w:rsidP="00BF6EBF">
            <w:pPr>
              <w:spacing w:after="0" w:line="240" w:lineRule="auto"/>
            </w:pPr>
            <w:r>
              <w:t>Gleiche Wassermengen werden um die gleiche Temperaturdifferenz einmal mit einem Wasserkocher</w:t>
            </w:r>
            <w:r w:rsidR="00BF6EBF">
              <w:t xml:space="preserve">, einem Tauchsieder </w:t>
            </w:r>
            <w:r>
              <w:t>und einem Kartuschenbrenner erwärmt.</w:t>
            </w:r>
            <w:r w:rsidR="00BF6EBF">
              <w:t xml:space="preserve"> Damit vergleichende Aussagen zum jeweiligen Wirkungsgrad getroffen werden können, sollten die Rahmen</w:t>
            </w:r>
            <w:r w:rsidR="00BF6EBF">
              <w:softHyphen/>
              <w:t>be</w:t>
            </w:r>
            <w:r w:rsidR="00BF6EBF">
              <w:softHyphen/>
              <w:t xml:space="preserve">dingungen möglichst identisch sein (d.h. ähnliche Gefäßabmessungen, offener </w:t>
            </w:r>
            <w:r w:rsidR="00BF6EBF" w:rsidRPr="00784721">
              <w:t>Deckel</w:t>
            </w:r>
            <w:r w:rsidR="0058749D" w:rsidRPr="00784721">
              <w:t xml:space="preserve"> beim Wasserkocher</w:t>
            </w:r>
            <w:r w:rsidR="00BF6EBF" w:rsidRPr="00784721">
              <w:t>, gleicher Temperatur</w:t>
            </w:r>
            <w:r w:rsidR="008A1466" w:rsidRPr="00784721">
              <w:softHyphen/>
            </w:r>
            <w:r w:rsidR="00BF6EBF" w:rsidRPr="00784721">
              <w:t xml:space="preserve">messer, </w:t>
            </w:r>
            <w:r w:rsidR="0058749D" w:rsidRPr="00784721">
              <w:t xml:space="preserve">gleiche </w:t>
            </w:r>
            <w:r w:rsidR="00BF6EBF" w:rsidRPr="00784721">
              <w:t>Wassermenge</w:t>
            </w:r>
            <w:r w:rsidR="0058749D" w:rsidRPr="00784721">
              <w:t>n</w:t>
            </w:r>
            <w:r w:rsidR="00BF6EBF" w:rsidRPr="00784721">
              <w:t>, …).</w:t>
            </w:r>
            <w:r w:rsidR="009F090A">
              <w:t xml:space="preserve"> Die Temperaturmessung mit einem digitalen Thermometer hat sich insbesondere bei Erwärmung mit dem Wasserkocher bewährt, da ein analoges Messgerät zu träge ist und die Nähe beim Ablesen die Verbrühungsgefahr am Dampf erhöht.</w:t>
            </w:r>
          </w:p>
          <w:p w:rsidR="00BF6EBF" w:rsidRDefault="00BF6EBF" w:rsidP="00BF6EBF">
            <w:pPr>
              <w:spacing w:after="0" w:line="240" w:lineRule="auto"/>
            </w:pPr>
          </w:p>
          <w:p w:rsidR="00BF6EBF" w:rsidRDefault="0058749D" w:rsidP="00784721">
            <w:pPr>
              <w:spacing w:after="0" w:line="240" w:lineRule="auto"/>
            </w:pPr>
            <w:r w:rsidRPr="00784721">
              <w:t>Die Bestimmung</w:t>
            </w:r>
            <w:r w:rsidR="003072FA" w:rsidRPr="00784721">
              <w:t xml:space="preserve"> der zugeführten Energie in den Beispielen A und B kann verschieden erfolgen: Entweder nimmt man die aufgedruckte </w:t>
            </w:r>
            <w:r w:rsidR="003072FA">
              <w:t>Leistungsangabe auf dem Gerät und misst die Zeitspanne fürs Erwärmen oder man betreibt das Gerät über ein dazwisch</w:t>
            </w:r>
            <w:r w:rsidR="00307B3F">
              <w:t>engeschaltetes Energiemessgerät</w:t>
            </w:r>
            <w:r w:rsidR="003072FA">
              <w:t>. Will man Stromstärke und Spannung einzeln messen, dann muss das Gerät über eine Sicherheits</w:t>
            </w:r>
            <w:r w:rsidR="00784721">
              <w:softHyphen/>
            </w:r>
            <w:r w:rsidR="003072FA">
              <w:t>steckdose mit Personenschutz betrieben werden (vgl.</w:t>
            </w:r>
            <w:r>
              <w:t xml:space="preserve"> </w:t>
            </w:r>
            <w:r w:rsidR="003072FA">
              <w:t>GefBu TF09 Steckdosenleiste mit Haushaltsgeräten).</w:t>
            </w:r>
          </w:p>
        </w:tc>
      </w:tr>
      <w:tr w:rsidR="004F25C4" w:rsidTr="00784721">
        <w:trPr>
          <w:trHeight w:val="135"/>
        </w:trPr>
        <w:tc>
          <w:tcPr>
            <w:tcW w:w="3510" w:type="dxa"/>
          </w:tcPr>
          <w:p w:rsidR="00DD0A58" w:rsidRPr="00784721" w:rsidRDefault="003072FA" w:rsidP="003072FA">
            <w:pPr>
              <w:spacing w:after="0" w:line="240" w:lineRule="auto"/>
              <w:rPr>
                <w:noProof/>
              </w:rPr>
            </w:pPr>
            <w:r w:rsidRPr="00784721">
              <w:t>Beispiel A</w:t>
            </w:r>
          </w:p>
          <w:p w:rsidR="00307B3F" w:rsidRPr="00784721" w:rsidRDefault="00307B3F" w:rsidP="003072FA">
            <w:pPr>
              <w:spacing w:after="0" w:line="240" w:lineRule="auto"/>
              <w:rPr>
                <w:noProof/>
              </w:rPr>
            </w:pPr>
            <w:r w:rsidRPr="00784721">
              <w:rPr>
                <w:noProof/>
              </w:rPr>
              <w:t xml:space="preserve">Da die Erwärmung mit </w:t>
            </w:r>
            <w:r w:rsidR="00841D4D" w:rsidRPr="00784721">
              <w:rPr>
                <w:noProof/>
              </w:rPr>
              <w:t>einem</w:t>
            </w:r>
            <w:r w:rsidRPr="00784721">
              <w:rPr>
                <w:noProof/>
              </w:rPr>
              <w:t xml:space="preserve"> Wasserkocher schnell gelingt, kann man mit Hilfe eines Videos </w:t>
            </w:r>
            <w:r w:rsidR="00841D4D" w:rsidRPr="00784721">
              <w:rPr>
                <w:noProof/>
              </w:rPr>
              <w:t>auch nachträglich noch notwendige Werte gut ablesen.</w:t>
            </w:r>
          </w:p>
          <w:p w:rsidR="00841D4D" w:rsidRPr="00784721" w:rsidRDefault="00841D4D" w:rsidP="003072FA">
            <w:pPr>
              <w:spacing w:after="0" w:line="240" w:lineRule="auto"/>
              <w:rPr>
                <w:noProof/>
              </w:rPr>
            </w:pPr>
            <w:r w:rsidRPr="00784721">
              <w:rPr>
                <w:noProof/>
              </w:rPr>
              <w:t>Hier wurden 800ml Wasser von ca</w:t>
            </w:r>
            <w:r w:rsidR="0058749D" w:rsidRPr="00784721">
              <w:rPr>
                <w:noProof/>
              </w:rPr>
              <w:t>.</w:t>
            </w:r>
            <w:r w:rsidRPr="00784721">
              <w:rPr>
                <w:noProof/>
              </w:rPr>
              <w:t xml:space="preserve"> 23°C auf 93°C innerhalb von 2 Minuten erwärmt, wobei eine Energiemenge von 0,08kWh notwendig war.</w:t>
            </w:r>
          </w:p>
          <w:p w:rsidR="00841D4D" w:rsidRPr="0058749D" w:rsidRDefault="00841D4D" w:rsidP="00784721">
            <w:pPr>
              <w:spacing w:after="0" w:line="240" w:lineRule="auto"/>
              <w:rPr>
                <w:color w:val="FF0000"/>
              </w:rPr>
            </w:pPr>
            <w:r w:rsidRPr="00784721">
              <w:rPr>
                <w:noProof/>
              </w:rPr>
              <w:t>Die Leistungsangabe des Gerätes sind 2000 bis 2400 Watt.</w:t>
            </w:r>
            <w:r w:rsidR="00784721" w:rsidRPr="00784721">
              <w:rPr>
                <w:noProof/>
              </w:rPr>
              <w:t xml:space="preserve"> </w:t>
            </w:r>
            <w:r w:rsidR="009802D5" w:rsidRPr="00784721">
              <w:rPr>
                <w:noProof/>
              </w:rPr>
              <w:t>Das Energiekosten</w:t>
            </w:r>
            <w:r w:rsidR="009802D5" w:rsidRPr="00784721">
              <w:rPr>
                <w:noProof/>
              </w:rPr>
              <w:softHyphen/>
              <w:t>messgerät hat 2200Watt angezeigt.</w:t>
            </w:r>
          </w:p>
        </w:tc>
        <w:tc>
          <w:tcPr>
            <w:tcW w:w="5670" w:type="dxa"/>
          </w:tcPr>
          <w:p w:rsidR="00AF6542" w:rsidRDefault="00841D4D" w:rsidP="00841D4D">
            <w:pPr>
              <w:spacing w:after="0" w:line="240" w:lineRule="auto"/>
              <w:jc w:val="right"/>
            </w:pPr>
            <w:r>
              <w:rPr>
                <w:noProof/>
              </w:rPr>
              <w:drawing>
                <wp:anchor distT="0" distB="0" distL="114300" distR="114300" simplePos="0" relativeHeight="251662336" behindDoc="0" locked="0" layoutInCell="1" allowOverlap="1" wp14:anchorId="70406DD9" wp14:editId="72C30D2C">
                  <wp:simplePos x="0" y="0"/>
                  <wp:positionH relativeFrom="column">
                    <wp:posOffset>-40005</wp:posOffset>
                  </wp:positionH>
                  <wp:positionV relativeFrom="paragraph">
                    <wp:posOffset>13335</wp:posOffset>
                  </wp:positionV>
                  <wp:extent cx="906780" cy="1092835"/>
                  <wp:effectExtent l="0" t="0" r="762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1_125457.jpg"/>
                          <pic:cNvPicPr/>
                        </pic:nvPicPr>
                        <pic:blipFill rotWithShape="1">
                          <a:blip r:embed="rId8" cstate="print">
                            <a:extLst>
                              <a:ext uri="{28A0092B-C50C-407E-A947-70E740481C1C}">
                                <a14:useLocalDpi xmlns:a14="http://schemas.microsoft.com/office/drawing/2010/main" val="0"/>
                              </a:ext>
                            </a:extLst>
                          </a:blip>
                          <a:srcRect l="11203" r="26556"/>
                          <a:stretch/>
                        </pic:blipFill>
                        <pic:spPr bwMode="auto">
                          <a:xfrm>
                            <a:off x="0" y="0"/>
                            <a:ext cx="906780" cy="1092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25C4">
              <w:rPr>
                <w:noProof/>
              </w:rPr>
              <w:drawing>
                <wp:inline distT="0" distB="0" distL="0" distR="0" wp14:anchorId="3FDD4E31" wp14:editId="280D755C">
                  <wp:extent cx="2936666" cy="240526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1_125116.jpg"/>
                          <pic:cNvPicPr/>
                        </pic:nvPicPr>
                        <pic:blipFill rotWithShape="1">
                          <a:blip r:embed="rId9" cstate="print">
                            <a:extLst>
                              <a:ext uri="{28A0092B-C50C-407E-A947-70E740481C1C}">
                                <a14:useLocalDpi xmlns:a14="http://schemas.microsoft.com/office/drawing/2010/main" val="0"/>
                              </a:ext>
                            </a:extLst>
                          </a:blip>
                          <a:srcRect r="8423"/>
                          <a:stretch/>
                        </pic:blipFill>
                        <pic:spPr bwMode="auto">
                          <a:xfrm>
                            <a:off x="0" y="0"/>
                            <a:ext cx="2942806" cy="2410298"/>
                          </a:xfrm>
                          <a:prstGeom prst="rect">
                            <a:avLst/>
                          </a:prstGeom>
                          <a:ln>
                            <a:noFill/>
                          </a:ln>
                          <a:extLst>
                            <a:ext uri="{53640926-AAD7-44D8-BBD7-CCE9431645EC}">
                              <a14:shadowObscured xmlns:a14="http://schemas.microsoft.com/office/drawing/2010/main"/>
                            </a:ext>
                          </a:extLst>
                        </pic:spPr>
                      </pic:pic>
                    </a:graphicData>
                  </a:graphic>
                </wp:inline>
              </w:drawing>
            </w:r>
          </w:p>
          <w:p w:rsidR="004F25C4" w:rsidRDefault="004F25C4" w:rsidP="00F7335A">
            <w:pPr>
              <w:spacing w:after="0" w:line="240" w:lineRule="auto"/>
            </w:pPr>
          </w:p>
        </w:tc>
      </w:tr>
      <w:tr w:rsidR="004F25C4" w:rsidTr="00784721">
        <w:trPr>
          <w:trHeight w:val="135"/>
        </w:trPr>
        <w:tc>
          <w:tcPr>
            <w:tcW w:w="3510" w:type="dxa"/>
          </w:tcPr>
          <w:p w:rsidR="00BF6EBF" w:rsidRDefault="003072FA" w:rsidP="00F7335A">
            <w:pPr>
              <w:spacing w:after="0" w:line="240" w:lineRule="auto"/>
            </w:pPr>
            <w:r>
              <w:lastRenderedPageBreak/>
              <w:t>Beispiel B</w:t>
            </w:r>
          </w:p>
          <w:p w:rsidR="003072FA" w:rsidRDefault="00B947AC" w:rsidP="00B947AC">
            <w:pPr>
              <w:spacing w:after="0" w:line="240" w:lineRule="auto"/>
            </w:pPr>
            <w:r>
              <w:t>Im Betrieb muss sich der Wasser</w:t>
            </w:r>
            <w:r w:rsidR="009F090A">
              <w:softHyphen/>
            </w:r>
            <w:r>
              <w:t xml:space="preserve">stand zwischen minimaler und maximaler Marke am </w:t>
            </w:r>
            <w:r w:rsidR="003072FA">
              <w:t>Tauch</w:t>
            </w:r>
            <w:r>
              <w:softHyphen/>
            </w:r>
            <w:r w:rsidR="003072FA">
              <w:t>sieder</w:t>
            </w:r>
            <w:r>
              <w:t xml:space="preserve"> befinden, damit einerseits der heizende Bereich vollständig bedeckt ist und andererseits der Abstand zu den elektrischen Anschlüssen </w:t>
            </w:r>
            <w:r w:rsidRPr="009F090A">
              <w:t>ausreichend ist.</w:t>
            </w:r>
            <w:r w:rsidR="0058749D" w:rsidRPr="009F090A">
              <w:t xml:space="preserve"> Man sollte</w:t>
            </w:r>
            <w:r w:rsidR="009802D5" w:rsidRPr="009F090A">
              <w:t xml:space="preserve"> einen </w:t>
            </w:r>
            <w:r w:rsidRPr="009F090A">
              <w:t xml:space="preserve">Tauchsieder mit Überhitzungsschutz und Schutzleiter </w:t>
            </w:r>
            <w:r>
              <w:t>verwenden. Im Falle einer Über</w:t>
            </w:r>
            <w:r w:rsidR="009F090A">
              <w:softHyphen/>
            </w:r>
            <w:r>
              <w:t>hitzung greift oft eine eingebaute Schmelz</w:t>
            </w:r>
            <w:r w:rsidR="009F090A">
              <w:softHyphen/>
            </w:r>
            <w:r>
              <w:t>sicherung. Danach ist der Tauchsieder in der Regel nicht mehr zu verwenden.</w:t>
            </w:r>
          </w:p>
          <w:p w:rsidR="00841D4D" w:rsidRDefault="00841D4D" w:rsidP="009F090A">
            <w:pPr>
              <w:spacing w:after="0" w:line="240" w:lineRule="auto"/>
            </w:pPr>
            <w:r>
              <w:t xml:space="preserve">Obwohl auf </w:t>
            </w:r>
            <w:r w:rsidR="009F090A">
              <w:t>diesem</w:t>
            </w:r>
            <w:r>
              <w:t xml:space="preserve"> Tauchsieder 300Watt angegeben waren, zeigte das Messgerät 360Watt</w:t>
            </w:r>
            <w:r w:rsidR="009F090A">
              <w:t>!</w:t>
            </w:r>
            <w:r>
              <w:t xml:space="preserve"> Die 800ml Wasser wurden innerhalb von 12,5min von ca</w:t>
            </w:r>
            <w:r w:rsidR="0058749D">
              <w:t>.</w:t>
            </w:r>
            <w:r>
              <w:t xml:space="preserve"> 23°C auf 93°C erwärmt.</w:t>
            </w:r>
          </w:p>
        </w:tc>
        <w:tc>
          <w:tcPr>
            <w:tcW w:w="5670" w:type="dxa"/>
          </w:tcPr>
          <w:p w:rsidR="004F25C4" w:rsidRDefault="004F25C4" w:rsidP="003A3F30">
            <w:pPr>
              <w:spacing w:after="0" w:line="240" w:lineRule="auto"/>
              <w:jc w:val="center"/>
            </w:pPr>
            <w:r>
              <w:rPr>
                <w:noProof/>
              </w:rPr>
              <w:drawing>
                <wp:inline distT="0" distB="0" distL="0" distR="0" wp14:anchorId="6BC76192" wp14:editId="5AF7189F">
                  <wp:extent cx="3733631" cy="2800429"/>
                  <wp:effectExtent l="9208"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1_122918(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3730316" cy="2797943"/>
                          </a:xfrm>
                          <a:prstGeom prst="rect">
                            <a:avLst/>
                          </a:prstGeom>
                        </pic:spPr>
                      </pic:pic>
                    </a:graphicData>
                  </a:graphic>
                </wp:inline>
              </w:drawing>
            </w:r>
          </w:p>
        </w:tc>
        <w:bookmarkStart w:id="0" w:name="_GoBack"/>
        <w:bookmarkEnd w:id="0"/>
      </w:tr>
      <w:tr w:rsidR="004F25C4" w:rsidTr="00784721">
        <w:trPr>
          <w:trHeight w:val="135"/>
        </w:trPr>
        <w:tc>
          <w:tcPr>
            <w:tcW w:w="3510" w:type="dxa"/>
          </w:tcPr>
          <w:p w:rsidR="003072FA" w:rsidRDefault="003072FA" w:rsidP="00F7335A">
            <w:pPr>
              <w:spacing w:after="0" w:line="240" w:lineRule="auto"/>
            </w:pPr>
            <w:r>
              <w:t>Beispiel C</w:t>
            </w:r>
          </w:p>
          <w:p w:rsidR="00AF6542" w:rsidRDefault="00DD0A58" w:rsidP="00F7335A">
            <w:pPr>
              <w:spacing w:after="0" w:line="240" w:lineRule="auto"/>
            </w:pPr>
            <w:r>
              <w:t xml:space="preserve">Die notwendige Gasmenge wird durch </w:t>
            </w:r>
            <w:r w:rsidR="0074763C">
              <w:t>W</w:t>
            </w:r>
            <w:r>
              <w:t xml:space="preserve">iegen der Kartusche vorher und </w:t>
            </w:r>
            <w:r w:rsidRPr="009F090A">
              <w:t>nachher</w:t>
            </w:r>
            <w:r w:rsidR="009F090A" w:rsidRPr="009F090A">
              <w:t xml:space="preserve"> </w:t>
            </w:r>
            <w:r w:rsidR="009802D5" w:rsidRPr="009F090A">
              <w:t>ermittelt</w:t>
            </w:r>
            <w:r w:rsidRPr="009F090A">
              <w:t>.</w:t>
            </w:r>
            <w:r w:rsidR="009802D5" w:rsidRPr="009F090A">
              <w:t xml:space="preserve"> </w:t>
            </w:r>
            <w:r>
              <w:t>Die Energie</w:t>
            </w:r>
            <w:r w:rsidR="003A3F30">
              <w:softHyphen/>
            </w:r>
            <w:r>
              <w:t xml:space="preserve">menge wird über eine </w:t>
            </w:r>
            <w:r w:rsidRPr="002176D1">
              <w:t>Brenn</w:t>
            </w:r>
            <w:r w:rsidR="0074763C">
              <w:softHyphen/>
            </w:r>
            <w:r w:rsidRPr="002176D1">
              <w:t>wert</w:t>
            </w:r>
            <w:r w:rsidR="0074763C">
              <w:softHyphen/>
            </w:r>
            <w:r w:rsidRPr="002176D1">
              <w:t>tabelle</w:t>
            </w:r>
            <w:r>
              <w:t xml:space="preserve"> bestimmt</w:t>
            </w:r>
            <w:r w:rsidR="002176D1">
              <w:t>.</w:t>
            </w:r>
          </w:p>
          <w:p w:rsidR="002176D1" w:rsidRDefault="002176D1" w:rsidP="00F7335A">
            <w:pPr>
              <w:spacing w:after="0" w:line="240" w:lineRule="auto"/>
            </w:pPr>
          </w:p>
          <w:tbl>
            <w:tblPr>
              <w:tblStyle w:val="Tabellenraster"/>
              <w:tblW w:w="0" w:type="auto"/>
              <w:tblLook w:val="04A0" w:firstRow="1" w:lastRow="0" w:firstColumn="1" w:lastColumn="0" w:noHBand="0" w:noVBand="1"/>
            </w:tblPr>
            <w:tblGrid>
              <w:gridCol w:w="1640"/>
              <w:gridCol w:w="1644"/>
            </w:tblGrid>
            <w:tr w:rsidR="002176D1" w:rsidTr="002176D1">
              <w:tc>
                <w:tcPr>
                  <w:tcW w:w="2152" w:type="dxa"/>
                </w:tcPr>
                <w:p w:rsidR="002176D1" w:rsidRPr="002176D1" w:rsidRDefault="002176D1" w:rsidP="00F7335A">
                  <w:pPr>
                    <w:spacing w:after="0" w:line="240" w:lineRule="auto"/>
                    <w:rPr>
                      <w:b/>
                    </w:rPr>
                  </w:pPr>
                  <w:r w:rsidRPr="002176D1">
                    <w:rPr>
                      <w:b/>
                    </w:rPr>
                    <w:t>Brennstoff</w:t>
                  </w:r>
                </w:p>
              </w:tc>
              <w:tc>
                <w:tcPr>
                  <w:tcW w:w="2152" w:type="dxa"/>
                </w:tcPr>
                <w:p w:rsidR="002176D1" w:rsidRDefault="002176D1" w:rsidP="00F7335A">
                  <w:pPr>
                    <w:spacing w:after="0" w:line="240" w:lineRule="auto"/>
                  </w:pPr>
                  <w:r>
                    <w:rPr>
                      <w:b/>
                      <w:bCs/>
                    </w:rPr>
                    <w:t>Brennwert</w:t>
                  </w:r>
                  <w:r>
                    <w:t xml:space="preserve"> (in MJ/kg)</w:t>
                  </w:r>
                </w:p>
              </w:tc>
            </w:tr>
            <w:tr w:rsidR="002176D1" w:rsidTr="002176D1">
              <w:tc>
                <w:tcPr>
                  <w:tcW w:w="2152" w:type="dxa"/>
                </w:tcPr>
                <w:p w:rsidR="002176D1" w:rsidRDefault="002176D1" w:rsidP="00F7335A">
                  <w:pPr>
                    <w:spacing w:after="0" w:line="240" w:lineRule="auto"/>
                  </w:pPr>
                  <w:r>
                    <w:t>Methan</w:t>
                  </w:r>
                </w:p>
              </w:tc>
              <w:tc>
                <w:tcPr>
                  <w:tcW w:w="2152" w:type="dxa"/>
                </w:tcPr>
                <w:p w:rsidR="002176D1" w:rsidRDefault="002176D1" w:rsidP="00F7335A">
                  <w:pPr>
                    <w:spacing w:after="0" w:line="240" w:lineRule="auto"/>
                  </w:pPr>
                  <w:r>
                    <w:t>55,498</w:t>
                  </w:r>
                </w:p>
              </w:tc>
            </w:tr>
            <w:tr w:rsidR="002176D1" w:rsidTr="002176D1">
              <w:tc>
                <w:tcPr>
                  <w:tcW w:w="2152" w:type="dxa"/>
                </w:tcPr>
                <w:p w:rsidR="002176D1" w:rsidRDefault="002176D1" w:rsidP="00F7335A">
                  <w:pPr>
                    <w:spacing w:after="0" w:line="240" w:lineRule="auto"/>
                  </w:pPr>
                  <w:r>
                    <w:t>Ethan</w:t>
                  </w:r>
                </w:p>
              </w:tc>
              <w:tc>
                <w:tcPr>
                  <w:tcW w:w="2152" w:type="dxa"/>
                </w:tcPr>
                <w:p w:rsidR="002176D1" w:rsidRDefault="002176D1" w:rsidP="00F7335A">
                  <w:pPr>
                    <w:spacing w:after="0" w:line="240" w:lineRule="auto"/>
                  </w:pPr>
                  <w:r>
                    <w:t>51,877</w:t>
                  </w:r>
                </w:p>
              </w:tc>
            </w:tr>
          </w:tbl>
          <w:p w:rsidR="004F25C4" w:rsidRDefault="004F25C4" w:rsidP="00F7335A">
            <w:pPr>
              <w:spacing w:after="0" w:line="240" w:lineRule="auto"/>
              <w:rPr>
                <w:noProof/>
              </w:rPr>
            </w:pPr>
          </w:p>
          <w:p w:rsidR="00DD0A58" w:rsidRDefault="002F1DEF" w:rsidP="00F7335A">
            <w:pPr>
              <w:spacing w:after="0" w:line="240" w:lineRule="auto"/>
            </w:pPr>
            <w:r>
              <w:t>Es waren 16,5g Gas notwendig, um eine Wasser</w:t>
            </w:r>
            <w:r>
              <w:softHyphen/>
              <w:t>menge von 800ml von einer Temperatur von 23°C auf 93°C innerhalb von 16,5min zu erhöhen.</w:t>
            </w:r>
          </w:p>
        </w:tc>
        <w:tc>
          <w:tcPr>
            <w:tcW w:w="5670" w:type="dxa"/>
          </w:tcPr>
          <w:p w:rsidR="009802D5" w:rsidRDefault="003A3F30" w:rsidP="003A3F30">
            <w:pPr>
              <w:spacing w:after="0" w:line="240" w:lineRule="auto"/>
            </w:pPr>
            <w:r>
              <w:rPr>
                <w:noProof/>
              </w:rPr>
              <w:drawing>
                <wp:anchor distT="0" distB="0" distL="114300" distR="114300" simplePos="0" relativeHeight="251663360" behindDoc="0" locked="0" layoutInCell="1" allowOverlap="1" wp14:anchorId="4F924BA1" wp14:editId="3A6C2CBD">
                  <wp:simplePos x="0" y="0"/>
                  <wp:positionH relativeFrom="column">
                    <wp:posOffset>1245870</wp:posOffset>
                  </wp:positionH>
                  <wp:positionV relativeFrom="paragraph">
                    <wp:posOffset>967740</wp:posOffset>
                  </wp:positionV>
                  <wp:extent cx="3303905" cy="1431290"/>
                  <wp:effectExtent l="2858"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1_115027.jpg"/>
                          <pic:cNvPicPr/>
                        </pic:nvPicPr>
                        <pic:blipFill rotWithShape="1">
                          <a:blip r:embed="rId11" cstate="print">
                            <a:extLst>
                              <a:ext uri="{28A0092B-C50C-407E-A947-70E740481C1C}">
                                <a14:useLocalDpi xmlns:a14="http://schemas.microsoft.com/office/drawing/2010/main" val="0"/>
                              </a:ext>
                            </a:extLst>
                          </a:blip>
                          <a:srcRect t="9488" b="32734"/>
                          <a:stretch/>
                        </pic:blipFill>
                        <pic:spPr bwMode="auto">
                          <a:xfrm rot="5400000">
                            <a:off x="0" y="0"/>
                            <a:ext cx="3303905" cy="1431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F25C4">
              <w:rPr>
                <w:noProof/>
              </w:rPr>
              <w:drawing>
                <wp:inline distT="0" distB="0" distL="0" distR="0" wp14:anchorId="2014E638" wp14:editId="5CD0C13E">
                  <wp:extent cx="3313548" cy="2002670"/>
                  <wp:effectExtent l="7937"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31_114857.jpg"/>
                          <pic:cNvPicPr/>
                        </pic:nvPicPr>
                        <pic:blipFill rotWithShape="1">
                          <a:blip r:embed="rId12" cstate="print">
                            <a:extLst>
                              <a:ext uri="{28A0092B-C50C-407E-A947-70E740481C1C}">
                                <a14:useLocalDpi xmlns:a14="http://schemas.microsoft.com/office/drawing/2010/main" val="0"/>
                              </a:ext>
                            </a:extLst>
                          </a:blip>
                          <a:srcRect t="13907" r="9099" b="12845"/>
                          <a:stretch/>
                        </pic:blipFill>
                        <pic:spPr bwMode="auto">
                          <a:xfrm rot="5400000">
                            <a:off x="0" y="0"/>
                            <a:ext cx="3318907" cy="2005909"/>
                          </a:xfrm>
                          <a:prstGeom prst="rect">
                            <a:avLst/>
                          </a:prstGeom>
                          <a:ln>
                            <a:noFill/>
                          </a:ln>
                          <a:extLst>
                            <a:ext uri="{53640926-AAD7-44D8-BBD7-CCE9431645EC}">
                              <a14:shadowObscured xmlns:a14="http://schemas.microsoft.com/office/drawing/2010/main"/>
                            </a:ext>
                          </a:extLst>
                        </pic:spPr>
                      </pic:pic>
                    </a:graphicData>
                  </a:graphic>
                </wp:inline>
              </w:drawing>
            </w:r>
          </w:p>
        </w:tc>
      </w:tr>
    </w:tbl>
    <w:p w:rsidR="00F7335A" w:rsidRDefault="00F7335A" w:rsidP="00F7335A">
      <w:pPr>
        <w:spacing w:after="0" w:line="240" w:lineRule="auto"/>
      </w:pPr>
    </w:p>
    <w:p w:rsidR="003A3F30" w:rsidRDefault="003A3F30">
      <w:pPr>
        <w:spacing w:after="0" w:line="240" w:lineRule="auto"/>
      </w:pPr>
      <w:r>
        <w:br w:type="page"/>
      </w:r>
    </w:p>
    <w:p w:rsidR="00F7335A" w:rsidRDefault="00F7335A" w:rsidP="00F7335A">
      <w:pPr>
        <w:spacing w:after="0" w:line="240" w:lineRule="auto"/>
      </w:pPr>
    </w:p>
    <w:p w:rsidR="00F7335A" w:rsidRDefault="00F7335A" w:rsidP="00260D3B">
      <w:pPr>
        <w:spacing w:after="120" w:line="240" w:lineRule="auto"/>
        <w:rPr>
          <w:b/>
        </w:rPr>
      </w:pPr>
      <w:r w:rsidRPr="00F7335A">
        <w:rPr>
          <w:b/>
        </w:rPr>
        <w:t>Gefährdungsarten:</w:t>
      </w:r>
    </w:p>
    <w:p w:rsidR="00F7335A" w:rsidRPr="00F7335A" w:rsidRDefault="0035399A" w:rsidP="00F7335A">
      <w:pPr>
        <w:spacing w:after="0" w:line="240" w:lineRule="auto"/>
      </w:pPr>
      <w:sdt>
        <w:sdtPr>
          <w:id w:val="-701319087"/>
          <w14:checkbox>
            <w14:checked w14:val="0"/>
            <w14:checkedState w14:val="2612" w14:font="MS Gothic"/>
            <w14:uncheckedState w14:val="2610" w14:font="MS Gothic"/>
          </w14:checkbox>
        </w:sdtPr>
        <w:sdtEndPr/>
        <w:sdtContent>
          <w:r w:rsidR="00D3563A">
            <w:rPr>
              <w:rFonts w:ascii="MS Gothic" w:eastAsia="MS Gothic" w:hAnsi="MS Gothic" w:hint="eastAsia"/>
            </w:rPr>
            <w:t>☐</w:t>
          </w:r>
        </w:sdtContent>
      </w:sdt>
      <w:r w:rsidR="00F7335A">
        <w:t xml:space="preserve"> m</w:t>
      </w:r>
      <w:r w:rsidR="00D8025D">
        <w:t>echanisch</w:t>
      </w:r>
      <w:r w:rsidR="00D8025D">
        <w:tab/>
      </w:r>
      <w:r w:rsidR="00B41A45">
        <w:t xml:space="preserve">  </w:t>
      </w:r>
      <w:r w:rsidR="00F7335A">
        <w:tab/>
      </w:r>
      <w:r w:rsidR="000873A7">
        <w:tab/>
      </w:r>
      <w:sdt>
        <w:sdtPr>
          <w:id w:val="-85469022"/>
          <w14:checkbox>
            <w14:checked w14:val="1"/>
            <w14:checkedState w14:val="2612" w14:font="MS Gothic"/>
            <w14:uncheckedState w14:val="2610" w14:font="MS Gothic"/>
          </w14:checkbox>
        </w:sdtPr>
        <w:sdtEndPr/>
        <w:sdtContent>
          <w:r w:rsidR="00686D30">
            <w:rPr>
              <w:rFonts w:ascii="MS Gothic" w:eastAsia="MS Gothic" w:hAnsi="MS Gothic" w:hint="eastAsia"/>
            </w:rPr>
            <w:t>☒</w:t>
          </w:r>
        </w:sdtContent>
      </w:sdt>
      <w:r w:rsidR="00F7335A">
        <w:t xml:space="preserve"> elektrisch </w:t>
      </w:r>
      <w:r w:rsidR="000F0165">
        <w:tab/>
      </w:r>
      <w:sdt>
        <w:sdtPr>
          <w:id w:val="2010247941"/>
          <w14:checkbox>
            <w14:checked w14:val="1"/>
            <w14:checkedState w14:val="2612" w14:font="MS Gothic"/>
            <w14:uncheckedState w14:val="2610" w14:font="MS Gothic"/>
          </w14:checkbox>
        </w:sdtPr>
        <w:sdtEndPr/>
        <w:sdtContent>
          <w:r w:rsidR="00AF6542">
            <w:rPr>
              <w:rFonts w:ascii="MS Gothic" w:eastAsia="MS Gothic" w:hAnsi="MS Gothic" w:hint="eastAsia"/>
            </w:rPr>
            <w:t>☒</w:t>
          </w:r>
        </w:sdtContent>
      </w:sdt>
      <w:r w:rsidR="00F7335A">
        <w:t xml:space="preserve"> thermisch</w:t>
      </w:r>
      <w:r w:rsidR="000F0165">
        <w:tab/>
      </w:r>
      <w:r w:rsidR="00F7335A">
        <w:tab/>
      </w:r>
      <w:sdt>
        <w:sdtPr>
          <w:id w:val="-1827190569"/>
          <w14:checkbox>
            <w14:checked w14:val="0"/>
            <w14:checkedState w14:val="2612" w14:font="MS Gothic"/>
            <w14:uncheckedState w14:val="2610" w14:font="MS Gothic"/>
          </w14:checkbox>
        </w:sdtPr>
        <w:sdtEndPr/>
        <w:sdtContent>
          <w:r w:rsidR="00D3563A">
            <w:rPr>
              <w:rFonts w:ascii="MS Gothic" w:eastAsia="MS Gothic" w:hAnsi="MS Gothic" w:hint="eastAsia"/>
            </w:rPr>
            <w:t>☐</w:t>
          </w:r>
        </w:sdtContent>
      </w:sdt>
      <w:r w:rsidR="008D609B">
        <w:t xml:space="preserve"> IR-, optische Strahlung</w:t>
      </w:r>
    </w:p>
    <w:p w:rsidR="00F7335A" w:rsidRDefault="0035399A" w:rsidP="00F7335A">
      <w:pPr>
        <w:spacing w:after="0" w:line="240" w:lineRule="auto"/>
        <w:rPr>
          <w:b/>
        </w:rPr>
      </w:pPr>
      <w:sdt>
        <w:sdtPr>
          <w:id w:val="-670108285"/>
          <w14:checkbox>
            <w14:checked w14:val="0"/>
            <w14:checkedState w14:val="2612" w14:font="MS Gothic"/>
            <w14:uncheckedState w14:val="2610" w14:font="MS Gothic"/>
          </w14:checkbox>
        </w:sdtPr>
        <w:sdtEndPr/>
        <w:sdtContent>
          <w:r w:rsidR="00D3563A">
            <w:rPr>
              <w:rFonts w:ascii="MS Gothic" w:eastAsia="MS Gothic" w:hAnsi="MS Gothic" w:hint="eastAsia"/>
            </w:rPr>
            <w:t>☐</w:t>
          </w:r>
        </w:sdtContent>
      </w:sdt>
      <w:r w:rsidR="00D8025D">
        <w:t xml:space="preserve"> </w:t>
      </w:r>
      <w:r w:rsidR="001D36E0">
        <w:t>ionisierende Strahlung</w:t>
      </w:r>
      <w:r w:rsidR="000F0165">
        <w:tab/>
      </w:r>
      <w:sdt>
        <w:sdtPr>
          <w:id w:val="-1583297187"/>
          <w14:checkbox>
            <w14:checked w14:val="0"/>
            <w14:checkedState w14:val="2612" w14:font="MS Gothic"/>
            <w14:uncheckedState w14:val="2610" w14:font="MS Gothic"/>
          </w14:checkbox>
        </w:sdtPr>
        <w:sdtEndPr/>
        <w:sdtContent>
          <w:r w:rsidR="00D3563A">
            <w:rPr>
              <w:rFonts w:ascii="MS Gothic" w:eastAsia="MS Gothic" w:hAnsi="MS Gothic" w:hint="eastAsia"/>
            </w:rPr>
            <w:t>☐</w:t>
          </w:r>
        </w:sdtContent>
      </w:sdt>
      <w:r w:rsidR="00D8025D">
        <w:t xml:space="preserve"> </w:t>
      </w:r>
      <w:r w:rsidR="000873A7">
        <w:t>Lärm</w:t>
      </w:r>
      <w:r w:rsidR="000873A7">
        <w:tab/>
      </w:r>
      <w:sdt>
        <w:sdtPr>
          <w:id w:val="-1703632013"/>
          <w14:checkbox>
            <w14:checked w14:val="1"/>
            <w14:checkedState w14:val="2612" w14:font="MS Gothic"/>
            <w14:uncheckedState w14:val="2610" w14:font="MS Gothic"/>
          </w14:checkbox>
        </w:sdtPr>
        <w:sdtEndPr/>
        <w:sdtContent>
          <w:r w:rsidR="00AF6542">
            <w:rPr>
              <w:rFonts w:ascii="MS Gothic" w:eastAsia="MS Gothic" w:hAnsi="MS Gothic" w:hint="eastAsia"/>
            </w:rPr>
            <w:t>☒</w:t>
          </w:r>
        </w:sdtContent>
      </w:sdt>
      <w:r w:rsidR="00F7335A">
        <w:t xml:space="preserve"> Gefahrstoffe</w:t>
      </w:r>
      <w:r w:rsidR="00F7335A">
        <w:tab/>
      </w:r>
      <w:r w:rsidR="00F7335A">
        <w:tab/>
      </w:r>
      <w:sdt>
        <w:sdtPr>
          <w:id w:val="273915375"/>
          <w14:checkbox>
            <w14:checked w14:val="0"/>
            <w14:checkedState w14:val="2612" w14:font="MS Gothic"/>
            <w14:uncheckedState w14:val="2610" w14:font="MS Gothic"/>
          </w14:checkbox>
        </w:sdtPr>
        <w:sdtEndPr/>
        <w:sdtContent>
          <w:r w:rsidR="00D3563A">
            <w:rPr>
              <w:rFonts w:ascii="MS Gothic" w:eastAsia="MS Gothic" w:hAnsi="MS Gothic" w:hint="eastAsia"/>
            </w:rPr>
            <w:t>☐</w:t>
          </w:r>
        </w:sdtContent>
      </w:sdt>
      <w:r w:rsidR="001D36E0">
        <w:t xml:space="preserve"> Sonstiges</w:t>
      </w:r>
    </w:p>
    <w:p w:rsidR="00F7335A" w:rsidRDefault="00F7335A" w:rsidP="00F7335A">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DD0A58" w:rsidRPr="00493E31" w:rsidTr="00A5669C">
        <w:tc>
          <w:tcPr>
            <w:tcW w:w="2518" w:type="dxa"/>
            <w:shd w:val="clear" w:color="auto" w:fill="F2F2F2"/>
          </w:tcPr>
          <w:p w:rsidR="00DD0A58" w:rsidRPr="00493E31" w:rsidRDefault="00DD0A58" w:rsidP="00A5669C">
            <w:pPr>
              <w:spacing w:after="0" w:line="240" w:lineRule="auto"/>
              <w:rPr>
                <w:b/>
              </w:rPr>
            </w:pPr>
            <w:r w:rsidRPr="00493E31">
              <w:rPr>
                <w:b/>
              </w:rPr>
              <w:t>konkrete Gefährdungen</w:t>
            </w:r>
          </w:p>
        </w:tc>
        <w:tc>
          <w:tcPr>
            <w:tcW w:w="6662" w:type="dxa"/>
            <w:shd w:val="clear" w:color="auto" w:fill="F2F2F2"/>
          </w:tcPr>
          <w:p w:rsidR="00DD0A58" w:rsidRPr="00493E31" w:rsidRDefault="00DD0A58" w:rsidP="00A5669C">
            <w:pPr>
              <w:spacing w:after="0" w:line="240" w:lineRule="auto"/>
              <w:rPr>
                <w:b/>
              </w:rPr>
            </w:pPr>
            <w:r w:rsidRPr="00493E31">
              <w:rPr>
                <w:b/>
              </w:rPr>
              <w:t xml:space="preserve">Schutzmaßnahmen (z. B. gerätebezogen, baulich, </w:t>
            </w:r>
            <w:r w:rsidRPr="00493E31">
              <w:rPr>
                <w:b/>
              </w:rPr>
              <w:br/>
              <w:t xml:space="preserve">bei </w:t>
            </w:r>
            <w:r>
              <w:rPr>
                <w:b/>
              </w:rPr>
              <w:t>der Durchführung des Versuchs</w:t>
            </w:r>
            <w:r w:rsidRPr="00493E31">
              <w:rPr>
                <w:b/>
              </w:rPr>
              <w:t xml:space="preserve">) </w:t>
            </w:r>
          </w:p>
        </w:tc>
      </w:tr>
      <w:tr w:rsidR="0074763C" w:rsidTr="00CE3DBD">
        <w:tc>
          <w:tcPr>
            <w:tcW w:w="2518" w:type="dxa"/>
            <w:shd w:val="clear" w:color="auto" w:fill="auto"/>
          </w:tcPr>
          <w:p w:rsidR="0074763C" w:rsidRDefault="0074763C" w:rsidP="00CE3DBD">
            <w:pPr>
              <w:spacing w:after="0" w:line="240" w:lineRule="auto"/>
            </w:pPr>
            <w:r>
              <w:t>Verbrühung</w:t>
            </w:r>
          </w:p>
        </w:tc>
        <w:tc>
          <w:tcPr>
            <w:tcW w:w="6662" w:type="dxa"/>
            <w:shd w:val="clear" w:color="auto" w:fill="auto"/>
          </w:tcPr>
          <w:p w:rsidR="00B52CA1" w:rsidRDefault="00B52CA1" w:rsidP="00CE3DBD">
            <w:pPr>
              <w:pStyle w:val="Listenabsatz"/>
              <w:numPr>
                <w:ilvl w:val="0"/>
                <w:numId w:val="4"/>
              </w:numPr>
              <w:spacing w:after="0" w:line="240" w:lineRule="auto"/>
              <w:ind w:left="317"/>
            </w:pPr>
            <w:r>
              <w:t>Auf sicheren Stand des Becherglases insbesondere bei Verwendung des Tauchsieders achten!</w:t>
            </w:r>
          </w:p>
          <w:p w:rsidR="0074763C" w:rsidRDefault="005271E7" w:rsidP="005271E7">
            <w:pPr>
              <w:pStyle w:val="Listenabsatz"/>
              <w:numPr>
                <w:ilvl w:val="0"/>
                <w:numId w:val="4"/>
              </w:numPr>
              <w:spacing w:after="0" w:line="240" w:lineRule="auto"/>
              <w:ind w:left="317"/>
            </w:pPr>
            <w:r>
              <w:t xml:space="preserve">Bei der </w:t>
            </w:r>
            <w:r w:rsidR="00B52CA1">
              <w:t>Temperaturmessung</w:t>
            </w:r>
            <w:r>
              <w:t xml:space="preserve"> den </w:t>
            </w:r>
            <w:r w:rsidR="00B52CA1">
              <w:t xml:space="preserve">Wasserdampf </w:t>
            </w:r>
            <w:r>
              <w:t>meiden!</w:t>
            </w:r>
          </w:p>
        </w:tc>
      </w:tr>
      <w:tr w:rsidR="0074763C" w:rsidTr="00CE3DBD">
        <w:tc>
          <w:tcPr>
            <w:tcW w:w="2518" w:type="dxa"/>
            <w:shd w:val="clear" w:color="auto" w:fill="auto"/>
          </w:tcPr>
          <w:p w:rsidR="0074763C" w:rsidRDefault="0074763C" w:rsidP="0074763C">
            <w:pPr>
              <w:spacing w:after="0" w:line="240" w:lineRule="auto"/>
            </w:pPr>
            <w:r>
              <w:t>Verbrennungen am Tauchsieder</w:t>
            </w:r>
          </w:p>
        </w:tc>
        <w:tc>
          <w:tcPr>
            <w:tcW w:w="6662" w:type="dxa"/>
            <w:shd w:val="clear" w:color="auto" w:fill="auto"/>
          </w:tcPr>
          <w:p w:rsidR="003A3F30" w:rsidRDefault="0074763C" w:rsidP="0074763C">
            <w:pPr>
              <w:pStyle w:val="Listenabsatz"/>
              <w:numPr>
                <w:ilvl w:val="0"/>
                <w:numId w:val="4"/>
              </w:numPr>
              <w:spacing w:after="0" w:line="240" w:lineRule="auto"/>
              <w:ind w:left="317"/>
            </w:pPr>
            <w:r>
              <w:t xml:space="preserve">Tauchsieder erst betreiben, wenn er im Wasserbad ist. </w:t>
            </w:r>
          </w:p>
          <w:p w:rsidR="0074763C" w:rsidRDefault="0074763C" w:rsidP="0074763C">
            <w:pPr>
              <w:pStyle w:val="Listenabsatz"/>
              <w:numPr>
                <w:ilvl w:val="0"/>
                <w:numId w:val="4"/>
              </w:numPr>
              <w:spacing w:after="0" w:line="240" w:lineRule="auto"/>
              <w:ind w:left="317"/>
            </w:pPr>
            <w:r>
              <w:t>Nach Beendigung des Experimentierens unmittelbar den Stecker ziehen! Den heißen Tauchsieder nach dem Experimentieren im Wasserbad auskühlen lassen!</w:t>
            </w:r>
          </w:p>
          <w:p w:rsidR="003A3F30" w:rsidRDefault="003A3F30" w:rsidP="003A3F30">
            <w:pPr>
              <w:pStyle w:val="Listenabsatz"/>
              <w:numPr>
                <w:ilvl w:val="0"/>
                <w:numId w:val="4"/>
              </w:numPr>
              <w:spacing w:after="0" w:line="240" w:lineRule="auto"/>
              <w:ind w:left="317"/>
            </w:pPr>
            <w:r>
              <w:t>Sicherheitshalber Handschuhe bereithalten!</w:t>
            </w:r>
          </w:p>
        </w:tc>
      </w:tr>
      <w:tr w:rsidR="0074763C" w:rsidRPr="00493E31" w:rsidTr="0074763C">
        <w:tc>
          <w:tcPr>
            <w:tcW w:w="2518" w:type="dxa"/>
            <w:shd w:val="clear" w:color="auto" w:fill="auto"/>
          </w:tcPr>
          <w:p w:rsidR="0074763C" w:rsidRPr="00493E31" w:rsidRDefault="0074763C" w:rsidP="00CE3DBD">
            <w:pPr>
              <w:spacing w:after="0" w:line="240" w:lineRule="auto"/>
            </w:pPr>
            <w:r>
              <w:t>Berührungsgefährliche Spannung (nur bei Einzel</w:t>
            </w:r>
            <w:r w:rsidR="003A3F30">
              <w:softHyphen/>
            </w:r>
            <w:r>
              <w:t>messung von Strom</w:t>
            </w:r>
            <w:r w:rsidR="003A3F30">
              <w:softHyphen/>
            </w:r>
            <w:r>
              <w:t>stärke und Spannung)</w:t>
            </w:r>
          </w:p>
        </w:tc>
        <w:tc>
          <w:tcPr>
            <w:tcW w:w="6662" w:type="dxa"/>
            <w:shd w:val="clear" w:color="auto" w:fill="auto"/>
          </w:tcPr>
          <w:p w:rsidR="0074763C" w:rsidRDefault="0074763C" w:rsidP="00CE3DBD">
            <w:pPr>
              <w:pStyle w:val="Listenabsatz"/>
              <w:numPr>
                <w:ilvl w:val="0"/>
                <w:numId w:val="2"/>
              </w:numPr>
              <w:spacing w:after="0" w:line="240" w:lineRule="auto"/>
            </w:pPr>
            <w:r>
              <w:t>Verwendung eine Sicherheitssteckdose mit Personenschutz!</w:t>
            </w:r>
          </w:p>
          <w:p w:rsidR="0074763C" w:rsidRDefault="0074763C" w:rsidP="00CE3DBD">
            <w:pPr>
              <w:pStyle w:val="Listenabsatz"/>
              <w:numPr>
                <w:ilvl w:val="0"/>
                <w:numId w:val="2"/>
              </w:numPr>
              <w:spacing w:after="0" w:line="240" w:lineRule="auto"/>
            </w:pPr>
            <w:r>
              <w:t>Sicherheitskabel zur Messung der Stromstärke beim Anschluss an die Sicherheitssteckdose verwenden!</w:t>
            </w:r>
          </w:p>
          <w:p w:rsidR="0074763C" w:rsidRPr="00493E31" w:rsidRDefault="0074763C" w:rsidP="00CE3DBD">
            <w:pPr>
              <w:pStyle w:val="Listenabsatz"/>
              <w:numPr>
                <w:ilvl w:val="0"/>
                <w:numId w:val="2"/>
              </w:numPr>
              <w:spacing w:after="0" w:line="240" w:lineRule="auto"/>
            </w:pPr>
            <w:r>
              <w:t>Erst nach vollständigem Aufbau und Verbindung mit dem Hausnetz die Sicherheitssteckdose einschalten!</w:t>
            </w:r>
          </w:p>
        </w:tc>
      </w:tr>
      <w:tr w:rsidR="00DD0A58" w:rsidRPr="00493E31" w:rsidTr="00A5669C">
        <w:tc>
          <w:tcPr>
            <w:tcW w:w="2518" w:type="dxa"/>
            <w:shd w:val="clear" w:color="auto" w:fill="auto"/>
          </w:tcPr>
          <w:p w:rsidR="00DD0A58" w:rsidRDefault="00DD0A58" w:rsidP="00A5669C">
            <w:pPr>
              <w:spacing w:after="0" w:line="240" w:lineRule="auto"/>
            </w:pPr>
            <w:r>
              <w:rPr>
                <w:noProof/>
              </w:rPr>
              <w:drawing>
                <wp:anchor distT="0" distB="0" distL="114300" distR="114300" simplePos="0" relativeHeight="251659264" behindDoc="0" locked="0" layoutInCell="1" allowOverlap="1" wp14:anchorId="6E37377B" wp14:editId="5758652A">
                  <wp:simplePos x="0" y="0"/>
                  <wp:positionH relativeFrom="column">
                    <wp:posOffset>879475</wp:posOffset>
                  </wp:positionH>
                  <wp:positionV relativeFrom="paragraph">
                    <wp:posOffset>66675</wp:posOffset>
                  </wp:positionV>
                  <wp:extent cx="561975" cy="561975"/>
                  <wp:effectExtent l="0" t="0" r="9525" b="9525"/>
                  <wp:wrapSquare wrapText="bothSides"/>
                  <wp:docPr id="4" name="Grafik 34" descr="D:\Gefährdungsbeurteilungen\Gefahrensymbole\GFS\gf-entzündl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4" descr="D:\Gefährdungsbeurteilungen\Gefahrensymbole\GFS\gf-entzündli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6FD0">
              <w:t>Propan</w:t>
            </w:r>
          </w:p>
        </w:tc>
        <w:tc>
          <w:tcPr>
            <w:tcW w:w="6662" w:type="dxa"/>
            <w:shd w:val="clear" w:color="auto" w:fill="auto"/>
          </w:tcPr>
          <w:p w:rsidR="00DD0A58" w:rsidRPr="003C6FD0" w:rsidRDefault="00DD0A58" w:rsidP="00A5669C">
            <w:pPr>
              <w:spacing w:after="0" w:line="240" w:lineRule="auto"/>
            </w:pPr>
            <w:r w:rsidRPr="003C6FD0">
              <w:t>H-Sätze:220/280</w:t>
            </w:r>
          </w:p>
          <w:p w:rsidR="00DD0A58" w:rsidRDefault="00DD0A58" w:rsidP="00A5669C">
            <w:pPr>
              <w:spacing w:after="0" w:line="240" w:lineRule="auto"/>
            </w:pPr>
            <w:r w:rsidRPr="003C6FD0">
              <w:t>P-Sätze: 201/210/281/308+313/377/381/403+410</w:t>
            </w:r>
          </w:p>
        </w:tc>
      </w:tr>
      <w:tr w:rsidR="00DD0A58" w:rsidRPr="00493E31" w:rsidTr="00A5669C">
        <w:tc>
          <w:tcPr>
            <w:tcW w:w="2518" w:type="dxa"/>
            <w:shd w:val="clear" w:color="auto" w:fill="auto"/>
          </w:tcPr>
          <w:p w:rsidR="00DD0A58" w:rsidRPr="003C6FD0" w:rsidRDefault="00DD0A58" w:rsidP="00A5669C">
            <w:pPr>
              <w:spacing w:after="0" w:line="240" w:lineRule="auto"/>
            </w:pPr>
            <w:r>
              <w:rPr>
                <w:noProof/>
              </w:rPr>
              <w:drawing>
                <wp:anchor distT="0" distB="0" distL="114300" distR="114300" simplePos="0" relativeHeight="251661312" behindDoc="0" locked="0" layoutInCell="1" allowOverlap="1" wp14:anchorId="752DE348" wp14:editId="7C7537FD">
                  <wp:simplePos x="0" y="0"/>
                  <wp:positionH relativeFrom="column">
                    <wp:posOffset>879475</wp:posOffset>
                  </wp:positionH>
                  <wp:positionV relativeFrom="paragraph">
                    <wp:posOffset>635</wp:posOffset>
                  </wp:positionV>
                  <wp:extent cx="561975" cy="561975"/>
                  <wp:effectExtent l="0" t="0" r="9525" b="9525"/>
                  <wp:wrapSquare wrapText="bothSides"/>
                  <wp:docPr id="3" name="Grafik 35" descr="D:\Gefährdungsbeurteilungen\Gefahrensymbole\GFS\gf-entzündli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D:\Gefährdungsbeurteilungen\Gefahrensymbole\GFS\gf-entzündli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t>Butan</w:t>
            </w:r>
          </w:p>
        </w:tc>
        <w:tc>
          <w:tcPr>
            <w:tcW w:w="6662" w:type="dxa"/>
            <w:shd w:val="clear" w:color="auto" w:fill="auto"/>
          </w:tcPr>
          <w:p w:rsidR="00DD0A58" w:rsidRPr="003C6FD0" w:rsidRDefault="00DD0A58" w:rsidP="00A5669C">
            <w:pPr>
              <w:spacing w:after="0" w:line="240" w:lineRule="auto"/>
            </w:pPr>
            <w:r w:rsidRPr="003C6FD0">
              <w:t>H-Sätze: 220/280</w:t>
            </w:r>
          </w:p>
          <w:p w:rsidR="00DD0A58" w:rsidRPr="00CE78E7" w:rsidRDefault="00DD0A58" w:rsidP="00A5669C">
            <w:pPr>
              <w:spacing w:after="0" w:line="240" w:lineRule="auto"/>
            </w:pPr>
            <w:r w:rsidRPr="003C6FD0">
              <w:t>P-Sätze: 308+313/377/381/403+410</w:t>
            </w:r>
          </w:p>
        </w:tc>
      </w:tr>
      <w:tr w:rsidR="00DD0A58" w:rsidRPr="00493E31" w:rsidTr="00A5669C">
        <w:tc>
          <w:tcPr>
            <w:tcW w:w="2518" w:type="dxa"/>
            <w:shd w:val="clear" w:color="auto" w:fill="auto"/>
          </w:tcPr>
          <w:p w:rsidR="00DD0A58" w:rsidRDefault="00DD0A58" w:rsidP="00A5669C">
            <w:pPr>
              <w:spacing w:after="0" w:line="240" w:lineRule="auto"/>
            </w:pPr>
            <w:r>
              <w:t>Gasaustritt bei Kartuschenbrenner</w:t>
            </w: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Default="00DD0A58" w:rsidP="00A5669C">
            <w:pPr>
              <w:spacing w:after="0" w:line="240" w:lineRule="auto"/>
            </w:pPr>
          </w:p>
          <w:p w:rsidR="00DD0A58" w:rsidRPr="00493E31" w:rsidRDefault="00DD0A58" w:rsidP="00A5669C">
            <w:pPr>
              <w:spacing w:after="0" w:line="240" w:lineRule="auto"/>
            </w:pPr>
          </w:p>
        </w:tc>
        <w:tc>
          <w:tcPr>
            <w:tcW w:w="6662" w:type="dxa"/>
            <w:shd w:val="clear" w:color="auto" w:fill="auto"/>
          </w:tcPr>
          <w:p w:rsidR="00DD0A58" w:rsidRDefault="00DD0A58" w:rsidP="00DD0A58">
            <w:pPr>
              <w:pStyle w:val="Listenabsatz"/>
              <w:numPr>
                <w:ilvl w:val="0"/>
                <w:numId w:val="2"/>
              </w:numPr>
              <w:spacing w:after="0" w:line="240" w:lineRule="auto"/>
            </w:pPr>
            <w:r>
              <w:t>Schülerinnen und Schüler dürfen im Unterricht nur mit maximal 8 Kartuschenbrennern in Einwegbehältern (Ventilkartuschen) arbeiten, bei denen ein Entnahmeventil eingesetzt ist.</w:t>
            </w:r>
          </w:p>
          <w:p w:rsidR="00DD0A58" w:rsidRPr="003C6FD0" w:rsidRDefault="00DD0A58" w:rsidP="00DD0A58">
            <w:pPr>
              <w:pStyle w:val="Listenabsatz"/>
              <w:numPr>
                <w:ilvl w:val="0"/>
                <w:numId w:val="2"/>
              </w:numPr>
            </w:pPr>
            <w:r w:rsidRPr="00EA2B64">
              <w:rPr>
                <w:rFonts w:cs="Calibri"/>
              </w:rPr>
              <w:t>Auslaufen von Flüssiggas durch angemessene Gebrauchslage vermeiden.</w:t>
            </w:r>
          </w:p>
          <w:p w:rsidR="00DD0A58" w:rsidRDefault="00DD0A58" w:rsidP="00DD0A58">
            <w:pPr>
              <w:pStyle w:val="Listenabsatz"/>
              <w:numPr>
                <w:ilvl w:val="0"/>
                <w:numId w:val="2"/>
              </w:numPr>
            </w:pPr>
            <w:r>
              <w:t>Kartuschenbrenner nie kippen oder schütteln!</w:t>
            </w:r>
          </w:p>
          <w:p w:rsidR="00DD0A58" w:rsidRPr="00E66783" w:rsidRDefault="00DD0A58" w:rsidP="00DD0A58">
            <w:pPr>
              <w:pStyle w:val="Listenabsatz"/>
              <w:numPr>
                <w:ilvl w:val="0"/>
                <w:numId w:val="2"/>
              </w:numPr>
            </w:pPr>
            <w:r w:rsidRPr="00EA2B64">
              <w:rPr>
                <w:rFonts w:cs="Calibri"/>
              </w:rPr>
              <w:t>Unzulässige Erwärmung der Druckgaskartuschen vermeiden!</w:t>
            </w:r>
          </w:p>
          <w:p w:rsidR="00DD0A58" w:rsidRDefault="00DD0A58" w:rsidP="00DD0A58">
            <w:pPr>
              <w:pStyle w:val="Listenabsatz"/>
              <w:numPr>
                <w:ilvl w:val="0"/>
                <w:numId w:val="2"/>
              </w:numPr>
            </w:pPr>
            <w:r>
              <w:t>Nach Benutzung die Luftzufuhr am Kartuschenbrenner und anschließend die Gaszufuhr schließen!</w:t>
            </w:r>
          </w:p>
          <w:p w:rsidR="00DD0A58" w:rsidRDefault="00DD0A58" w:rsidP="00DD0A58">
            <w:pPr>
              <w:pStyle w:val="Listenabsatz"/>
              <w:numPr>
                <w:ilvl w:val="0"/>
                <w:numId w:val="2"/>
              </w:numPr>
            </w:pPr>
            <w:r>
              <w:t>Kartuschenbrenner müssen nach jeder Benutzung auf geschlossene Ventile und äußerlich erkennbare Mängel geprüft werden.</w:t>
            </w:r>
          </w:p>
          <w:p w:rsidR="00DD0A58" w:rsidRPr="00493E31" w:rsidRDefault="00DD0A58" w:rsidP="00DD0A58">
            <w:pPr>
              <w:pStyle w:val="Listenabsatz"/>
              <w:numPr>
                <w:ilvl w:val="0"/>
                <w:numId w:val="2"/>
              </w:numPr>
            </w:pPr>
            <w:r>
              <w:t>Raum grundsätzlich lüften!</w:t>
            </w:r>
          </w:p>
        </w:tc>
      </w:tr>
      <w:tr w:rsidR="00DD0A58" w:rsidRPr="00493E31" w:rsidTr="00A5669C">
        <w:tc>
          <w:tcPr>
            <w:tcW w:w="2518" w:type="dxa"/>
            <w:shd w:val="clear" w:color="auto" w:fill="auto"/>
          </w:tcPr>
          <w:p w:rsidR="00DD0A58" w:rsidRDefault="00DD0A58" w:rsidP="00A5669C">
            <w:pPr>
              <w:spacing w:after="0" w:line="240" w:lineRule="auto"/>
            </w:pPr>
            <w:r>
              <w:t>Verbrennung</w:t>
            </w:r>
          </w:p>
        </w:tc>
        <w:tc>
          <w:tcPr>
            <w:tcW w:w="6662" w:type="dxa"/>
            <w:shd w:val="clear" w:color="auto" w:fill="auto"/>
          </w:tcPr>
          <w:p w:rsidR="00DD0A58" w:rsidRDefault="00DD0A58" w:rsidP="00DD0A58">
            <w:pPr>
              <w:pStyle w:val="Listenabsatz"/>
              <w:numPr>
                <w:ilvl w:val="0"/>
                <w:numId w:val="2"/>
              </w:numPr>
              <w:spacing w:after="0" w:line="240" w:lineRule="auto"/>
            </w:pPr>
            <w:r>
              <w:t>Lange Haare zusammenbinden und Kopf nicht über Brenner halten!</w:t>
            </w:r>
          </w:p>
          <w:p w:rsidR="00DD0A58" w:rsidRDefault="00DD0A58" w:rsidP="00DD0A58">
            <w:pPr>
              <w:pStyle w:val="Listenabsatz"/>
              <w:numPr>
                <w:ilvl w:val="0"/>
                <w:numId w:val="2"/>
              </w:numPr>
              <w:spacing w:after="0" w:line="240" w:lineRule="auto"/>
            </w:pPr>
            <w:r>
              <w:t>Brennbare Gegenstände von der Arbeitsfläche entfernen!</w:t>
            </w:r>
          </w:p>
          <w:p w:rsidR="00DD0A58" w:rsidRPr="00111E0E" w:rsidRDefault="00DD0A58" w:rsidP="00DD0A58">
            <w:pPr>
              <w:pStyle w:val="Listenabsatz"/>
              <w:numPr>
                <w:ilvl w:val="0"/>
                <w:numId w:val="2"/>
              </w:numPr>
              <w:spacing w:after="0" w:line="240" w:lineRule="auto"/>
            </w:pPr>
            <w:r>
              <w:rPr>
                <w:noProof/>
              </w:rPr>
              <w:drawing>
                <wp:anchor distT="0" distB="0" distL="114300" distR="114300" simplePos="0" relativeHeight="251660288" behindDoc="0" locked="0" layoutInCell="1" allowOverlap="1" wp14:anchorId="37F1E869" wp14:editId="566DD597">
                  <wp:simplePos x="0" y="0"/>
                  <wp:positionH relativeFrom="column">
                    <wp:posOffset>3199130</wp:posOffset>
                  </wp:positionH>
                  <wp:positionV relativeFrom="paragraph">
                    <wp:posOffset>20320</wp:posOffset>
                  </wp:positionV>
                  <wp:extent cx="474980" cy="474980"/>
                  <wp:effectExtent l="0" t="0" r="1270" b="1270"/>
                  <wp:wrapSquare wrapText="bothSides"/>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14:sizeRelH relativeFrom="page">
                    <wp14:pctWidth>0</wp14:pctWidth>
                  </wp14:sizeRelH>
                  <wp14:sizeRelV relativeFrom="page">
                    <wp14:pctHeight>0</wp14:pctHeight>
                  </wp14:sizeRelV>
                </wp:anchor>
              </w:drawing>
            </w:r>
            <w:r>
              <w:t>VORSICHT: Nicht immer ist die Flamme sichtbar. Schutzbrille tragen!</w:t>
            </w:r>
            <w:r w:rsidRPr="00CE78E7">
              <w:rPr>
                <w:rFonts w:ascii="Arial" w:hAnsi="Arial" w:cs="Arial"/>
                <w:noProof/>
                <w:color w:val="000000"/>
              </w:rPr>
              <w:t xml:space="preserve"> </w:t>
            </w:r>
          </w:p>
          <w:p w:rsidR="00DD0A58" w:rsidRDefault="00DD0A58" w:rsidP="00DD0A58">
            <w:pPr>
              <w:pStyle w:val="Listenabsatz"/>
              <w:numPr>
                <w:ilvl w:val="0"/>
                <w:numId w:val="2"/>
              </w:numPr>
              <w:spacing w:after="0" w:line="240" w:lineRule="auto"/>
            </w:pPr>
            <w:r>
              <w:t>Mit der sichtbaren leuchtenden Flamme arbeiten!</w:t>
            </w:r>
          </w:p>
          <w:p w:rsidR="00DD0A58" w:rsidRDefault="00DD0A58" w:rsidP="00A5669C">
            <w:pPr>
              <w:spacing w:after="0" w:line="240" w:lineRule="auto"/>
            </w:pPr>
          </w:p>
        </w:tc>
      </w:tr>
    </w:tbl>
    <w:p w:rsidR="00DD0A58" w:rsidRDefault="00DD0A58" w:rsidP="00DD0A58">
      <w:pPr>
        <w:spacing w:after="0" w:line="240" w:lineRule="auto"/>
      </w:pPr>
    </w:p>
    <w:p w:rsidR="00DD0A58" w:rsidRDefault="0035399A" w:rsidP="00DD0A58">
      <w:pPr>
        <w:spacing w:after="0" w:line="240" w:lineRule="auto"/>
        <w:rPr>
          <w:szCs w:val="20"/>
        </w:rPr>
      </w:pPr>
      <w:sdt>
        <w:sdtPr>
          <w:rPr>
            <w:szCs w:val="20"/>
          </w:rPr>
          <w:id w:val="1266190044"/>
          <w14:checkbox>
            <w14:checked w14:val="0"/>
            <w14:checkedState w14:val="2612" w14:font="MS Gothic"/>
            <w14:uncheckedState w14:val="2610" w14:font="MS Gothic"/>
          </w14:checkbox>
        </w:sdtPr>
        <w:sdtEndPr/>
        <w:sdtContent>
          <w:r w:rsidR="00DD0A58">
            <w:rPr>
              <w:rFonts w:ascii="MS Gothic" w:eastAsia="MS Gothic" w:hAnsi="MS Gothic" w:hint="eastAsia"/>
              <w:szCs w:val="20"/>
            </w:rPr>
            <w:t>☐</w:t>
          </w:r>
        </w:sdtContent>
      </w:sdt>
      <w:r w:rsidR="00DD0A58" w:rsidRPr="0010479B">
        <w:rPr>
          <w:szCs w:val="20"/>
        </w:rPr>
        <w:t xml:space="preserve"> </w:t>
      </w:r>
      <w:r w:rsidR="00DD0A58">
        <w:rPr>
          <w:szCs w:val="20"/>
        </w:rPr>
        <w:t>Unterrichtliche Rahmenbedingungen (Lerngruppe, Unterrichtsraum,…) wurden berücksichtigt.</w:t>
      </w:r>
    </w:p>
    <w:p w:rsidR="00DD0A58" w:rsidRDefault="00DD0A58" w:rsidP="00DD0A58">
      <w:pPr>
        <w:spacing w:after="0" w:line="240" w:lineRule="auto"/>
      </w:pPr>
    </w:p>
    <w:p w:rsidR="00DD0A58" w:rsidRDefault="00DD0A58" w:rsidP="00DD0A58">
      <w:pPr>
        <w:spacing w:after="0" w:line="240" w:lineRule="auto"/>
        <w:rPr>
          <w:b/>
        </w:rPr>
      </w:pPr>
      <w:r>
        <w:rPr>
          <w:b/>
        </w:rPr>
        <w:t>Ergänzende Hinweise</w:t>
      </w:r>
      <w:r w:rsidRPr="00775BEE">
        <w:rPr>
          <w:b/>
        </w:rPr>
        <w:t>:</w:t>
      </w:r>
    </w:p>
    <w:p w:rsidR="00DD0A58" w:rsidRDefault="00DD0A58" w:rsidP="00DD0A58">
      <w:pPr>
        <w:pStyle w:val="Listenabsatz"/>
        <w:numPr>
          <w:ilvl w:val="0"/>
          <w:numId w:val="3"/>
        </w:numPr>
        <w:spacing w:after="0" w:line="240" w:lineRule="auto"/>
      </w:pPr>
      <w:r w:rsidRPr="003B6B5F">
        <w:rPr>
          <w:b/>
        </w:rPr>
        <w:t>Ortsfeste Gasanlagen sind Kartuschenbrennern vorzuziehen.</w:t>
      </w:r>
      <w:r w:rsidRPr="000349E0">
        <w:t xml:space="preserve"> </w:t>
      </w:r>
      <w:r>
        <w:t xml:space="preserve">Kartuschenbrenner mit einem Rauminhalt der Druckgaskartusche von nicht mehr als 1 Liter dürfen in Räumen unter Erdgleiche benutzt werden, wenn sie nach Gebrauch in Räumen über Erdgleiche aufbewahrt werden. Schülerinnen und Schüler dürfen im Unterricht nur mit maximal 8 Kartuschenbrennern in Einwegbehältern (Ventilkartuschen) arbeiten, bei denen ein Entnahmeventil eingesetzt ist. Einwegbehälter, die angestochen werden müssen und bei denen nach Entfernen des Entnahmeventils ungehindert Gas ausströmen kann, dürfen ihnen nicht ausgehändigt werden. </w:t>
      </w:r>
      <w:r w:rsidRPr="005E44AD">
        <w:t>Das Auswechseln der Druckgaskartuschen dürfen nur Lehrkräfte oder technische Assistentinnen durchführen.</w:t>
      </w:r>
      <w:r>
        <w:t xml:space="preserve"> </w:t>
      </w:r>
      <w:r w:rsidRPr="005E44AD">
        <w:t>Es dürfen nur Kartuschenbrenner betrieben werden, bei denen ein unbeabsichtigtes Lösen der Druckgaskartuschen verhindert ist.</w:t>
      </w:r>
    </w:p>
    <w:p w:rsidR="00DD0A58" w:rsidRDefault="00DD0A58" w:rsidP="00DD0A58">
      <w:pPr>
        <w:pStyle w:val="Listenabsatz"/>
        <w:spacing w:after="0" w:line="240" w:lineRule="auto"/>
      </w:pPr>
      <w:r w:rsidRPr="000349E0">
        <w:t>(vgl. RiSU I-5.4)</w:t>
      </w:r>
    </w:p>
    <w:p w:rsidR="00DD0A58" w:rsidRPr="005E44AD" w:rsidRDefault="00DD0A58" w:rsidP="00DD0A58">
      <w:pPr>
        <w:spacing w:after="0" w:line="240" w:lineRule="auto"/>
      </w:pPr>
    </w:p>
    <w:p w:rsidR="00DD0A58" w:rsidRPr="00EA2B64" w:rsidRDefault="00DD0A58" w:rsidP="00DD0A58">
      <w:pPr>
        <w:pStyle w:val="Listenabsatz"/>
        <w:numPr>
          <w:ilvl w:val="0"/>
          <w:numId w:val="3"/>
        </w:numPr>
        <w:spacing w:after="0" w:line="240" w:lineRule="auto"/>
        <w:rPr>
          <w:rFonts w:cs="Calibri"/>
          <w:noProof/>
          <w:color w:val="000000"/>
        </w:rPr>
      </w:pPr>
      <w:r w:rsidRPr="005E44AD">
        <w:t>Hin</w:t>
      </w:r>
      <w:r w:rsidRPr="00EA2B64">
        <w:rPr>
          <w:rFonts w:cs="Calibri"/>
          <w:noProof/>
          <w:color w:val="000000"/>
        </w:rPr>
        <w:t>weis zur Entsorgung: Reste vorsichtig im Abzug abfackeln! Leere Dose kann dem Wertsoff entsorgt werden.</w:t>
      </w:r>
    </w:p>
    <w:p w:rsidR="00DD0A58" w:rsidRPr="003B6B5F" w:rsidRDefault="00DD0A58" w:rsidP="00DD0A58">
      <w:pPr>
        <w:pStyle w:val="Listenabsatz"/>
        <w:numPr>
          <w:ilvl w:val="0"/>
          <w:numId w:val="3"/>
        </w:numPr>
        <w:spacing w:after="0" w:line="240" w:lineRule="auto"/>
      </w:pPr>
      <w:r>
        <w:t>Hinweise zu den Gefahrenstoffen: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5"/>
      </w:tblGrid>
      <w:tr w:rsidR="00DD0A58" w:rsidTr="00A5669C">
        <w:tc>
          <w:tcPr>
            <w:tcW w:w="675" w:type="dxa"/>
            <w:vMerge w:val="restart"/>
            <w:shd w:val="clear" w:color="auto" w:fill="auto"/>
            <w:textDirection w:val="btLr"/>
            <w:vAlign w:val="center"/>
          </w:tcPr>
          <w:p w:rsidR="00DD0A58" w:rsidRPr="008D710F" w:rsidRDefault="00DD0A58" w:rsidP="00A5669C">
            <w:pPr>
              <w:spacing w:after="0" w:line="240" w:lineRule="auto"/>
              <w:ind w:left="113" w:right="113"/>
              <w:jc w:val="center"/>
              <w:rPr>
                <w:b/>
                <w:sz w:val="28"/>
              </w:rPr>
            </w:pPr>
            <w:r w:rsidRPr="008D710F">
              <w:rPr>
                <w:b/>
                <w:sz w:val="28"/>
              </w:rPr>
              <w:t>Propan</w:t>
            </w:r>
          </w:p>
        </w:tc>
        <w:tc>
          <w:tcPr>
            <w:tcW w:w="8535" w:type="dxa"/>
            <w:shd w:val="clear" w:color="auto" w:fill="auto"/>
          </w:tcPr>
          <w:p w:rsidR="00DD0A58" w:rsidRPr="00420C42" w:rsidRDefault="00DD0A58" w:rsidP="00A5669C">
            <w:pPr>
              <w:spacing w:after="0" w:line="240" w:lineRule="auto"/>
            </w:pPr>
            <w:r w:rsidRPr="00420C42">
              <w:t>Gefahrenhinweise (H-Sätze)</w:t>
            </w:r>
          </w:p>
          <w:p w:rsidR="00DD0A58" w:rsidRPr="00420C42" w:rsidRDefault="00DD0A58" w:rsidP="00A5669C">
            <w:pPr>
              <w:spacing w:after="0" w:line="240" w:lineRule="auto"/>
            </w:pPr>
            <w:r w:rsidRPr="00420C42">
              <w:t xml:space="preserve">H220: Extrem entzündbares Gas. </w:t>
            </w:r>
          </w:p>
          <w:p w:rsidR="00DD0A58" w:rsidRDefault="00DD0A58" w:rsidP="00A5669C">
            <w:pPr>
              <w:spacing w:after="0" w:line="240" w:lineRule="auto"/>
            </w:pPr>
            <w:r w:rsidRPr="00420C42">
              <w:t>H280: Enthält Gas unter Druck; kann bei Erwärmung explodieren</w:t>
            </w:r>
            <w:r>
              <w:t>.</w:t>
            </w:r>
          </w:p>
        </w:tc>
      </w:tr>
      <w:tr w:rsidR="00DD0A58" w:rsidTr="00A5669C">
        <w:tc>
          <w:tcPr>
            <w:tcW w:w="675" w:type="dxa"/>
            <w:vMerge/>
            <w:shd w:val="clear" w:color="auto" w:fill="auto"/>
          </w:tcPr>
          <w:p w:rsidR="00DD0A58" w:rsidRDefault="00DD0A58" w:rsidP="00A5669C">
            <w:pPr>
              <w:spacing w:after="0" w:line="240" w:lineRule="auto"/>
            </w:pPr>
          </w:p>
        </w:tc>
        <w:tc>
          <w:tcPr>
            <w:tcW w:w="8535" w:type="dxa"/>
            <w:shd w:val="clear" w:color="auto" w:fill="auto"/>
          </w:tcPr>
          <w:p w:rsidR="00DD0A58" w:rsidRPr="00420C42" w:rsidRDefault="00DD0A58" w:rsidP="00A5669C">
            <w:pPr>
              <w:spacing w:after="0" w:line="240" w:lineRule="auto"/>
            </w:pPr>
            <w:r w:rsidRPr="00420C42">
              <w:t>Sicherheitshinweise (P-Sätze)</w:t>
            </w:r>
          </w:p>
          <w:p w:rsidR="00DD0A58" w:rsidRPr="00420C42" w:rsidRDefault="00DD0A58" w:rsidP="00A5669C">
            <w:pPr>
              <w:spacing w:after="0" w:line="240" w:lineRule="auto"/>
            </w:pPr>
            <w:r w:rsidRPr="00420C42">
              <w:t xml:space="preserve">P201: Vor Gebrauch besondere Anweisungen einholen. </w:t>
            </w:r>
          </w:p>
          <w:p w:rsidR="00DD0A58" w:rsidRPr="00420C42" w:rsidRDefault="00DD0A58" w:rsidP="00A5669C">
            <w:pPr>
              <w:spacing w:after="0" w:line="240" w:lineRule="auto"/>
            </w:pPr>
            <w:r w:rsidRPr="00420C42">
              <w:t>P210: Von Hitze/Funken/offener Flamme/heißen Oberflächen fernhalten. Nicht rauchen.</w:t>
            </w:r>
          </w:p>
          <w:p w:rsidR="00DD0A58" w:rsidRPr="00420C42" w:rsidRDefault="00DD0A58" w:rsidP="00A5669C">
            <w:pPr>
              <w:spacing w:after="0" w:line="240" w:lineRule="auto"/>
            </w:pPr>
            <w:r w:rsidRPr="00420C42">
              <w:t>P281: Vorgeschriebene persönliche Schutzausrüstung verwenden.</w:t>
            </w:r>
          </w:p>
          <w:p w:rsidR="00DD0A58" w:rsidRPr="00420C42" w:rsidRDefault="00DD0A58" w:rsidP="00A5669C">
            <w:pPr>
              <w:spacing w:after="0" w:line="240" w:lineRule="auto"/>
            </w:pPr>
            <w:r w:rsidRPr="00420C42">
              <w:t>P308 + P313: Bei Exposition oder Verdacht: Ärztlichen Rat einholen/ärztliche Hilfe hinzuziehen.</w:t>
            </w:r>
          </w:p>
          <w:p w:rsidR="00DD0A58" w:rsidRPr="00420C42" w:rsidRDefault="00DD0A58" w:rsidP="00A5669C">
            <w:pPr>
              <w:spacing w:after="0" w:line="240" w:lineRule="auto"/>
            </w:pPr>
            <w:r w:rsidRPr="00420C42">
              <w:t>P377: Brand bei Gasleckage: Nicht löschen, bis Leckage gefahrlos gestoppt werden kann.</w:t>
            </w:r>
          </w:p>
          <w:p w:rsidR="00DD0A58" w:rsidRPr="00420C42" w:rsidRDefault="00DD0A58" w:rsidP="00A5669C">
            <w:pPr>
              <w:spacing w:after="0" w:line="240" w:lineRule="auto"/>
            </w:pPr>
            <w:r w:rsidRPr="00420C42">
              <w:t>P381: Alle Zündquellen entfernen, wenn gefahrlos möglich.</w:t>
            </w:r>
          </w:p>
          <w:p w:rsidR="00DD0A58" w:rsidRDefault="00DD0A58" w:rsidP="00A5669C">
            <w:pPr>
              <w:spacing w:after="0" w:line="240" w:lineRule="auto"/>
            </w:pPr>
            <w:r w:rsidRPr="00420C42">
              <w:t>P403 + P410: Vor Sonnenbestrahlung schützen. An einem gut belüfteten Ort aufbewahren</w:t>
            </w:r>
          </w:p>
        </w:tc>
      </w:tr>
    </w:tbl>
    <w:p w:rsidR="00DD0A58" w:rsidRDefault="00DD0A58" w:rsidP="00DD0A5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5"/>
      </w:tblGrid>
      <w:tr w:rsidR="00DD0A58" w:rsidTr="00A5669C">
        <w:tc>
          <w:tcPr>
            <w:tcW w:w="675" w:type="dxa"/>
            <w:vMerge w:val="restart"/>
            <w:shd w:val="clear" w:color="auto" w:fill="auto"/>
            <w:textDirection w:val="btLr"/>
            <w:vAlign w:val="center"/>
          </w:tcPr>
          <w:p w:rsidR="00DD0A58" w:rsidRPr="008D710F" w:rsidRDefault="00DD0A58" w:rsidP="00A5669C">
            <w:pPr>
              <w:spacing w:after="0" w:line="240" w:lineRule="auto"/>
              <w:ind w:left="113" w:right="113"/>
              <w:jc w:val="center"/>
              <w:rPr>
                <w:b/>
                <w:sz w:val="28"/>
              </w:rPr>
            </w:pPr>
            <w:r w:rsidRPr="008D710F">
              <w:rPr>
                <w:b/>
                <w:sz w:val="28"/>
              </w:rPr>
              <w:t>Butan</w:t>
            </w:r>
          </w:p>
        </w:tc>
        <w:tc>
          <w:tcPr>
            <w:tcW w:w="8535" w:type="dxa"/>
            <w:shd w:val="clear" w:color="auto" w:fill="auto"/>
          </w:tcPr>
          <w:p w:rsidR="00DD0A58" w:rsidRPr="00420C42" w:rsidRDefault="00DD0A58" w:rsidP="00A5669C">
            <w:pPr>
              <w:spacing w:after="0" w:line="240" w:lineRule="auto"/>
            </w:pPr>
            <w:r w:rsidRPr="00420C42">
              <w:t>Gefahrenhinweise (H-Sätze)</w:t>
            </w:r>
          </w:p>
          <w:p w:rsidR="00DD0A58" w:rsidRPr="00420C42" w:rsidRDefault="00DD0A58" w:rsidP="00A5669C">
            <w:pPr>
              <w:spacing w:after="0" w:line="240" w:lineRule="auto"/>
            </w:pPr>
            <w:r w:rsidRPr="00420C42">
              <w:t xml:space="preserve">H220: Extrem entzündbares Gas. </w:t>
            </w:r>
          </w:p>
          <w:p w:rsidR="00DD0A58" w:rsidRDefault="00DD0A58" w:rsidP="00A5669C">
            <w:pPr>
              <w:spacing w:after="0" w:line="240" w:lineRule="auto"/>
            </w:pPr>
            <w:r w:rsidRPr="00420C42">
              <w:t>H280: Enthält Gas unter Druck; kann bei Erwärmung explodieren</w:t>
            </w:r>
          </w:p>
        </w:tc>
      </w:tr>
      <w:tr w:rsidR="00DD0A58" w:rsidTr="00A5669C">
        <w:tc>
          <w:tcPr>
            <w:tcW w:w="675" w:type="dxa"/>
            <w:vMerge/>
            <w:shd w:val="clear" w:color="auto" w:fill="auto"/>
          </w:tcPr>
          <w:p w:rsidR="00DD0A58" w:rsidRDefault="00DD0A58" w:rsidP="00A5669C">
            <w:pPr>
              <w:spacing w:after="0" w:line="240" w:lineRule="auto"/>
            </w:pPr>
          </w:p>
        </w:tc>
        <w:tc>
          <w:tcPr>
            <w:tcW w:w="8535" w:type="dxa"/>
            <w:shd w:val="clear" w:color="auto" w:fill="auto"/>
          </w:tcPr>
          <w:p w:rsidR="00DD0A58" w:rsidRPr="00420C42" w:rsidRDefault="00DD0A58" w:rsidP="00A5669C">
            <w:pPr>
              <w:spacing w:after="0" w:line="240" w:lineRule="auto"/>
            </w:pPr>
            <w:r w:rsidRPr="00420C42">
              <w:t>Sicherheitshinweise (P-Sätze)</w:t>
            </w:r>
          </w:p>
          <w:p w:rsidR="00DD0A58" w:rsidRPr="00420C42" w:rsidRDefault="00DD0A58" w:rsidP="00A5669C">
            <w:pPr>
              <w:spacing w:after="0" w:line="240" w:lineRule="auto"/>
            </w:pPr>
            <w:r w:rsidRPr="00420C42">
              <w:t>P210: Von Hitze/Funken/offener Flamme/heißen Oberflächen fernhalten. Nicht rauchen.</w:t>
            </w:r>
          </w:p>
          <w:p w:rsidR="00DD0A58" w:rsidRPr="00420C42" w:rsidRDefault="00DD0A58" w:rsidP="00A5669C">
            <w:pPr>
              <w:spacing w:after="0" w:line="240" w:lineRule="auto"/>
            </w:pPr>
            <w:r w:rsidRPr="00420C42">
              <w:t>P308 + P313: Bei Exposition oder Verdacht: Ärztlichen Rat einholen/ärztliche Hilfe hinzuziehen.</w:t>
            </w:r>
          </w:p>
          <w:p w:rsidR="00DD0A58" w:rsidRPr="00420C42" w:rsidRDefault="00DD0A58" w:rsidP="00A5669C">
            <w:pPr>
              <w:spacing w:after="0" w:line="240" w:lineRule="auto"/>
            </w:pPr>
            <w:r w:rsidRPr="00420C42">
              <w:t>P377: Brand bei Gasleckage: Nicht löschen, bis Leckage gefahrlos gestoppt werden kann.</w:t>
            </w:r>
          </w:p>
          <w:p w:rsidR="00DD0A58" w:rsidRPr="00420C42" w:rsidRDefault="00DD0A58" w:rsidP="00A5669C">
            <w:pPr>
              <w:spacing w:after="0" w:line="240" w:lineRule="auto"/>
            </w:pPr>
            <w:r w:rsidRPr="00420C42">
              <w:t>P381: Alle Zündquellen entfernen, wenn gefahrlos möglich.</w:t>
            </w:r>
          </w:p>
          <w:p w:rsidR="00DD0A58" w:rsidRDefault="00DD0A58" w:rsidP="00A5669C">
            <w:pPr>
              <w:spacing w:after="0" w:line="240" w:lineRule="auto"/>
            </w:pPr>
            <w:r w:rsidRPr="00420C42">
              <w:t>P403 + P410: Vor Sonnenbestrahlung schützen. An einem gut belüfteten Ort aufbewahren</w:t>
            </w:r>
          </w:p>
        </w:tc>
      </w:tr>
    </w:tbl>
    <w:p w:rsidR="00F7335A" w:rsidRDefault="00F7335A" w:rsidP="003A3F30">
      <w:pPr>
        <w:spacing w:after="0" w:line="240" w:lineRule="auto"/>
      </w:pPr>
    </w:p>
    <w:sectPr w:rsidR="00F7335A" w:rsidSect="00D8025D">
      <w:headerReference w:type="default" r:id="rId15"/>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9A" w:rsidRDefault="0035399A" w:rsidP="00C00502">
      <w:pPr>
        <w:spacing w:after="0" w:line="240" w:lineRule="auto"/>
      </w:pPr>
      <w:r>
        <w:separator/>
      </w:r>
    </w:p>
  </w:endnote>
  <w:endnote w:type="continuationSeparator" w:id="0">
    <w:p w:rsidR="0035399A" w:rsidRDefault="0035399A" w:rsidP="00C0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9A" w:rsidRDefault="0035399A" w:rsidP="00C00502">
      <w:pPr>
        <w:spacing w:after="0" w:line="240" w:lineRule="auto"/>
      </w:pPr>
      <w:r>
        <w:separator/>
      </w:r>
    </w:p>
  </w:footnote>
  <w:footnote w:type="continuationSeparator" w:id="0">
    <w:p w:rsidR="0035399A" w:rsidRDefault="0035399A" w:rsidP="00C00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02" w:rsidRDefault="000873A7" w:rsidP="00493E31">
    <w:pPr>
      <w:pStyle w:val="Kopfzeile"/>
      <w:tabs>
        <w:tab w:val="clear" w:pos="4536"/>
      </w:tabs>
    </w:pPr>
    <w:r>
      <w:t xml:space="preserve">Gefährdungsbeurteilung </w:t>
    </w:r>
    <w:r w:rsidR="008F7253">
      <w:t>Physik</w:t>
    </w:r>
    <w:r w:rsidR="00493E31">
      <w:tab/>
    </w:r>
    <w:r w:rsidR="007F61A4">
      <w:rPr>
        <w:noProof/>
      </w:rPr>
      <w:drawing>
        <wp:inline distT="0" distB="0" distL="0" distR="0">
          <wp:extent cx="1254760" cy="584835"/>
          <wp:effectExtent l="0" t="0" r="2540" b="5715"/>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584835"/>
                  </a:xfrm>
                  <a:prstGeom prst="rect">
                    <a:avLst/>
                  </a:prstGeom>
                  <a:noFill/>
                  <a:ln>
                    <a:noFill/>
                  </a:ln>
                </pic:spPr>
              </pic:pic>
            </a:graphicData>
          </a:graphic>
        </wp:inline>
      </w:drawing>
    </w:r>
    <w:r w:rsidR="008F7253">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33C9"/>
    <w:multiLevelType w:val="hybridMultilevel"/>
    <w:tmpl w:val="B86A4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F169F9"/>
    <w:multiLevelType w:val="hybridMultilevel"/>
    <w:tmpl w:val="91C6F3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F486365"/>
    <w:multiLevelType w:val="hybridMultilevel"/>
    <w:tmpl w:val="C19AC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E022A1"/>
    <w:multiLevelType w:val="hybridMultilevel"/>
    <w:tmpl w:val="22626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5A"/>
    <w:rsid w:val="00030768"/>
    <w:rsid w:val="000307DF"/>
    <w:rsid w:val="00044DC4"/>
    <w:rsid w:val="00085247"/>
    <w:rsid w:val="0008731B"/>
    <w:rsid w:val="000873A7"/>
    <w:rsid w:val="000A7080"/>
    <w:rsid w:val="000A7D6C"/>
    <w:rsid w:val="000B4785"/>
    <w:rsid w:val="000B6393"/>
    <w:rsid w:val="000B6B40"/>
    <w:rsid w:val="000F0165"/>
    <w:rsid w:val="00117E2D"/>
    <w:rsid w:val="001549DB"/>
    <w:rsid w:val="00163FCF"/>
    <w:rsid w:val="00166290"/>
    <w:rsid w:val="001B3ACA"/>
    <w:rsid w:val="001B7141"/>
    <w:rsid w:val="001C72C8"/>
    <w:rsid w:val="001D36E0"/>
    <w:rsid w:val="001F7600"/>
    <w:rsid w:val="002176D1"/>
    <w:rsid w:val="00260D3B"/>
    <w:rsid w:val="002865C7"/>
    <w:rsid w:val="002926A6"/>
    <w:rsid w:val="002C3A98"/>
    <w:rsid w:val="002E0716"/>
    <w:rsid w:val="002F1DEF"/>
    <w:rsid w:val="002F3620"/>
    <w:rsid w:val="003072FA"/>
    <w:rsid w:val="00307B3F"/>
    <w:rsid w:val="00311B2C"/>
    <w:rsid w:val="003208CC"/>
    <w:rsid w:val="00347E98"/>
    <w:rsid w:val="0035399A"/>
    <w:rsid w:val="00371B40"/>
    <w:rsid w:val="003736F8"/>
    <w:rsid w:val="003A3F30"/>
    <w:rsid w:val="003D28C6"/>
    <w:rsid w:val="003F3096"/>
    <w:rsid w:val="00413392"/>
    <w:rsid w:val="0045172A"/>
    <w:rsid w:val="00456368"/>
    <w:rsid w:val="00472E27"/>
    <w:rsid w:val="00486BC1"/>
    <w:rsid w:val="00493E31"/>
    <w:rsid w:val="00496D36"/>
    <w:rsid w:val="004E0660"/>
    <w:rsid w:val="004F25C4"/>
    <w:rsid w:val="00501972"/>
    <w:rsid w:val="00520EE0"/>
    <w:rsid w:val="005271E7"/>
    <w:rsid w:val="00555DEF"/>
    <w:rsid w:val="005773F9"/>
    <w:rsid w:val="00585958"/>
    <w:rsid w:val="0058724A"/>
    <w:rsid w:val="0058749D"/>
    <w:rsid w:val="00587F0F"/>
    <w:rsid w:val="005D182C"/>
    <w:rsid w:val="00612249"/>
    <w:rsid w:val="00617967"/>
    <w:rsid w:val="00624D7A"/>
    <w:rsid w:val="00627E47"/>
    <w:rsid w:val="006442C3"/>
    <w:rsid w:val="0066409C"/>
    <w:rsid w:val="00686046"/>
    <w:rsid w:val="00686D30"/>
    <w:rsid w:val="006E0775"/>
    <w:rsid w:val="006E07BD"/>
    <w:rsid w:val="006E20FE"/>
    <w:rsid w:val="00743F3D"/>
    <w:rsid w:val="0074763C"/>
    <w:rsid w:val="00762CFF"/>
    <w:rsid w:val="007738C7"/>
    <w:rsid w:val="00775BEE"/>
    <w:rsid w:val="00784721"/>
    <w:rsid w:val="00787C78"/>
    <w:rsid w:val="00790D58"/>
    <w:rsid w:val="007A09D5"/>
    <w:rsid w:val="007A2D0D"/>
    <w:rsid w:val="007A4D04"/>
    <w:rsid w:val="007D1D89"/>
    <w:rsid w:val="007E5FEE"/>
    <w:rsid w:val="007E79F1"/>
    <w:rsid w:val="007F61A4"/>
    <w:rsid w:val="00800025"/>
    <w:rsid w:val="00805F94"/>
    <w:rsid w:val="00812FF0"/>
    <w:rsid w:val="008226B4"/>
    <w:rsid w:val="008262FE"/>
    <w:rsid w:val="00833D6A"/>
    <w:rsid w:val="00841D4D"/>
    <w:rsid w:val="00843C1E"/>
    <w:rsid w:val="00867F8A"/>
    <w:rsid w:val="00896D23"/>
    <w:rsid w:val="008A1466"/>
    <w:rsid w:val="008C7436"/>
    <w:rsid w:val="008D609B"/>
    <w:rsid w:val="008F3EA4"/>
    <w:rsid w:val="008F7253"/>
    <w:rsid w:val="008F7E88"/>
    <w:rsid w:val="009067E6"/>
    <w:rsid w:val="009246E2"/>
    <w:rsid w:val="00927324"/>
    <w:rsid w:val="00937736"/>
    <w:rsid w:val="00970010"/>
    <w:rsid w:val="009802D5"/>
    <w:rsid w:val="009F090A"/>
    <w:rsid w:val="00A113E6"/>
    <w:rsid w:val="00A2556B"/>
    <w:rsid w:val="00A675A5"/>
    <w:rsid w:val="00A93ECC"/>
    <w:rsid w:val="00AB1571"/>
    <w:rsid w:val="00AC3FEB"/>
    <w:rsid w:val="00AF6542"/>
    <w:rsid w:val="00AF6D2F"/>
    <w:rsid w:val="00B11773"/>
    <w:rsid w:val="00B303D2"/>
    <w:rsid w:val="00B358FC"/>
    <w:rsid w:val="00B41A45"/>
    <w:rsid w:val="00B52CA1"/>
    <w:rsid w:val="00B775DD"/>
    <w:rsid w:val="00B84BE0"/>
    <w:rsid w:val="00B947AC"/>
    <w:rsid w:val="00BA32C0"/>
    <w:rsid w:val="00BB3F7A"/>
    <w:rsid w:val="00BC6D31"/>
    <w:rsid w:val="00BF6EBF"/>
    <w:rsid w:val="00C00502"/>
    <w:rsid w:val="00C0191A"/>
    <w:rsid w:val="00C163AF"/>
    <w:rsid w:val="00C31D67"/>
    <w:rsid w:val="00C43769"/>
    <w:rsid w:val="00C7642E"/>
    <w:rsid w:val="00C76C9E"/>
    <w:rsid w:val="00C8478F"/>
    <w:rsid w:val="00CB3127"/>
    <w:rsid w:val="00CC73B5"/>
    <w:rsid w:val="00CC787F"/>
    <w:rsid w:val="00D143F0"/>
    <w:rsid w:val="00D3563A"/>
    <w:rsid w:val="00D53F75"/>
    <w:rsid w:val="00D75CB8"/>
    <w:rsid w:val="00D8025D"/>
    <w:rsid w:val="00DC5838"/>
    <w:rsid w:val="00DD0A58"/>
    <w:rsid w:val="00E02D5F"/>
    <w:rsid w:val="00E2456C"/>
    <w:rsid w:val="00E75C10"/>
    <w:rsid w:val="00EE74C5"/>
    <w:rsid w:val="00EF3602"/>
    <w:rsid w:val="00F23079"/>
    <w:rsid w:val="00F36519"/>
    <w:rsid w:val="00F52653"/>
    <w:rsid w:val="00F707F5"/>
    <w:rsid w:val="00F7335A"/>
    <w:rsid w:val="00F84373"/>
    <w:rsid w:val="00F97927"/>
    <w:rsid w:val="00FA299D"/>
    <w:rsid w:val="00FB2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35A"/>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33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335A"/>
    <w:pPr>
      <w:ind w:left="720"/>
      <w:contextualSpacing/>
    </w:pPr>
  </w:style>
  <w:style w:type="paragraph" w:styleId="Sprechblasentext">
    <w:name w:val="Balloon Text"/>
    <w:basedOn w:val="Standard"/>
    <w:link w:val="SprechblasentextZchn"/>
    <w:uiPriority w:val="99"/>
    <w:semiHidden/>
    <w:unhideWhenUsed/>
    <w:rsid w:val="00843C1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3C1E"/>
    <w:rPr>
      <w:rFonts w:ascii="Tahoma" w:eastAsia="Times New Roman" w:hAnsi="Tahoma" w:cs="Tahoma"/>
      <w:sz w:val="16"/>
      <w:szCs w:val="16"/>
      <w:lang w:eastAsia="de-DE"/>
    </w:rPr>
  </w:style>
  <w:style w:type="character" w:styleId="Kommentarzeichen">
    <w:name w:val="annotation reference"/>
    <w:uiPriority w:val="99"/>
    <w:semiHidden/>
    <w:unhideWhenUsed/>
    <w:rsid w:val="00C0191A"/>
    <w:rPr>
      <w:sz w:val="16"/>
      <w:szCs w:val="16"/>
    </w:rPr>
  </w:style>
  <w:style w:type="paragraph" w:styleId="Kommentartext">
    <w:name w:val="annotation text"/>
    <w:basedOn w:val="Standard"/>
    <w:link w:val="KommentartextZchn"/>
    <w:uiPriority w:val="99"/>
    <w:semiHidden/>
    <w:unhideWhenUsed/>
    <w:rsid w:val="00C0191A"/>
    <w:pPr>
      <w:spacing w:line="240" w:lineRule="auto"/>
    </w:pPr>
    <w:rPr>
      <w:sz w:val="20"/>
      <w:szCs w:val="20"/>
    </w:rPr>
  </w:style>
  <w:style w:type="character" w:customStyle="1" w:styleId="KommentartextZchn">
    <w:name w:val="Kommentartext Zchn"/>
    <w:link w:val="Kommentartext"/>
    <w:uiPriority w:val="99"/>
    <w:semiHidden/>
    <w:rsid w:val="00C019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191A"/>
    <w:rPr>
      <w:b/>
      <w:bCs/>
    </w:rPr>
  </w:style>
  <w:style w:type="character" w:customStyle="1" w:styleId="KommentarthemaZchn">
    <w:name w:val="Kommentarthema Zchn"/>
    <w:link w:val="Kommentarthema"/>
    <w:uiPriority w:val="99"/>
    <w:semiHidden/>
    <w:rsid w:val="00C0191A"/>
    <w:rPr>
      <w:rFonts w:eastAsia="Times New Roman"/>
      <w:b/>
      <w:bCs/>
      <w:sz w:val="20"/>
      <w:szCs w:val="20"/>
      <w:lang w:eastAsia="de-DE"/>
    </w:rPr>
  </w:style>
  <w:style w:type="paragraph" w:styleId="Kopfzeile">
    <w:name w:val="header"/>
    <w:basedOn w:val="Standard"/>
    <w:link w:val="KopfzeileZchn"/>
    <w:uiPriority w:val="99"/>
    <w:unhideWhenUsed/>
    <w:rsid w:val="00C00502"/>
    <w:pPr>
      <w:tabs>
        <w:tab w:val="center" w:pos="4536"/>
        <w:tab w:val="right" w:pos="9072"/>
      </w:tabs>
      <w:spacing w:after="0" w:line="240" w:lineRule="auto"/>
    </w:pPr>
  </w:style>
  <w:style w:type="character" w:customStyle="1" w:styleId="KopfzeileZchn">
    <w:name w:val="Kopfzeile Zchn"/>
    <w:link w:val="Kopfzeile"/>
    <w:uiPriority w:val="99"/>
    <w:rsid w:val="00C00502"/>
    <w:rPr>
      <w:rFonts w:eastAsia="Times New Roman"/>
      <w:lang w:eastAsia="de-DE"/>
    </w:rPr>
  </w:style>
  <w:style w:type="paragraph" w:styleId="Fuzeile">
    <w:name w:val="footer"/>
    <w:basedOn w:val="Standard"/>
    <w:link w:val="FuzeileZchn"/>
    <w:uiPriority w:val="99"/>
    <w:unhideWhenUsed/>
    <w:rsid w:val="00C00502"/>
    <w:pPr>
      <w:tabs>
        <w:tab w:val="center" w:pos="4536"/>
        <w:tab w:val="right" w:pos="9072"/>
      </w:tabs>
      <w:spacing w:after="0" w:line="240" w:lineRule="auto"/>
    </w:pPr>
  </w:style>
  <w:style w:type="character" w:customStyle="1" w:styleId="FuzeileZchn">
    <w:name w:val="Fußzeile Zchn"/>
    <w:link w:val="Fuzeile"/>
    <w:uiPriority w:val="99"/>
    <w:rsid w:val="00C00502"/>
    <w:rPr>
      <w:rFonts w:eastAsia="Times New Roman"/>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335A"/>
    <w:pPr>
      <w:spacing w:after="200" w:line="276" w:lineRule="auto"/>
    </w:pPr>
    <w:rPr>
      <w:rFonts w:eastAsia="Times New Roman"/>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335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335A"/>
    <w:pPr>
      <w:ind w:left="720"/>
      <w:contextualSpacing/>
    </w:pPr>
  </w:style>
  <w:style w:type="paragraph" w:styleId="Sprechblasentext">
    <w:name w:val="Balloon Text"/>
    <w:basedOn w:val="Standard"/>
    <w:link w:val="SprechblasentextZchn"/>
    <w:uiPriority w:val="99"/>
    <w:semiHidden/>
    <w:unhideWhenUsed/>
    <w:rsid w:val="00843C1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3C1E"/>
    <w:rPr>
      <w:rFonts w:ascii="Tahoma" w:eastAsia="Times New Roman" w:hAnsi="Tahoma" w:cs="Tahoma"/>
      <w:sz w:val="16"/>
      <w:szCs w:val="16"/>
      <w:lang w:eastAsia="de-DE"/>
    </w:rPr>
  </w:style>
  <w:style w:type="character" w:styleId="Kommentarzeichen">
    <w:name w:val="annotation reference"/>
    <w:uiPriority w:val="99"/>
    <w:semiHidden/>
    <w:unhideWhenUsed/>
    <w:rsid w:val="00C0191A"/>
    <w:rPr>
      <w:sz w:val="16"/>
      <w:szCs w:val="16"/>
    </w:rPr>
  </w:style>
  <w:style w:type="paragraph" w:styleId="Kommentartext">
    <w:name w:val="annotation text"/>
    <w:basedOn w:val="Standard"/>
    <w:link w:val="KommentartextZchn"/>
    <w:uiPriority w:val="99"/>
    <w:semiHidden/>
    <w:unhideWhenUsed/>
    <w:rsid w:val="00C0191A"/>
    <w:pPr>
      <w:spacing w:line="240" w:lineRule="auto"/>
    </w:pPr>
    <w:rPr>
      <w:sz w:val="20"/>
      <w:szCs w:val="20"/>
    </w:rPr>
  </w:style>
  <w:style w:type="character" w:customStyle="1" w:styleId="KommentartextZchn">
    <w:name w:val="Kommentartext Zchn"/>
    <w:link w:val="Kommentartext"/>
    <w:uiPriority w:val="99"/>
    <w:semiHidden/>
    <w:rsid w:val="00C0191A"/>
    <w:rPr>
      <w:rFonts w:eastAsia="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0191A"/>
    <w:rPr>
      <w:b/>
      <w:bCs/>
    </w:rPr>
  </w:style>
  <w:style w:type="character" w:customStyle="1" w:styleId="KommentarthemaZchn">
    <w:name w:val="Kommentarthema Zchn"/>
    <w:link w:val="Kommentarthema"/>
    <w:uiPriority w:val="99"/>
    <w:semiHidden/>
    <w:rsid w:val="00C0191A"/>
    <w:rPr>
      <w:rFonts w:eastAsia="Times New Roman"/>
      <w:b/>
      <w:bCs/>
      <w:sz w:val="20"/>
      <w:szCs w:val="20"/>
      <w:lang w:eastAsia="de-DE"/>
    </w:rPr>
  </w:style>
  <w:style w:type="paragraph" w:styleId="Kopfzeile">
    <w:name w:val="header"/>
    <w:basedOn w:val="Standard"/>
    <w:link w:val="KopfzeileZchn"/>
    <w:uiPriority w:val="99"/>
    <w:unhideWhenUsed/>
    <w:rsid w:val="00C00502"/>
    <w:pPr>
      <w:tabs>
        <w:tab w:val="center" w:pos="4536"/>
        <w:tab w:val="right" w:pos="9072"/>
      </w:tabs>
      <w:spacing w:after="0" w:line="240" w:lineRule="auto"/>
    </w:pPr>
  </w:style>
  <w:style w:type="character" w:customStyle="1" w:styleId="KopfzeileZchn">
    <w:name w:val="Kopfzeile Zchn"/>
    <w:link w:val="Kopfzeile"/>
    <w:uiPriority w:val="99"/>
    <w:rsid w:val="00C00502"/>
    <w:rPr>
      <w:rFonts w:eastAsia="Times New Roman"/>
      <w:lang w:eastAsia="de-DE"/>
    </w:rPr>
  </w:style>
  <w:style w:type="paragraph" w:styleId="Fuzeile">
    <w:name w:val="footer"/>
    <w:basedOn w:val="Standard"/>
    <w:link w:val="FuzeileZchn"/>
    <w:uiPriority w:val="99"/>
    <w:unhideWhenUsed/>
    <w:rsid w:val="00C00502"/>
    <w:pPr>
      <w:tabs>
        <w:tab w:val="center" w:pos="4536"/>
        <w:tab w:val="right" w:pos="9072"/>
      </w:tabs>
      <w:spacing w:after="0" w:line="240" w:lineRule="auto"/>
    </w:pPr>
  </w:style>
  <w:style w:type="character" w:customStyle="1" w:styleId="FuzeileZchn">
    <w:name w:val="Fußzeile Zchn"/>
    <w:link w:val="Fuzeile"/>
    <w:uiPriority w:val="99"/>
    <w:rsid w:val="00C00502"/>
    <w:rPr>
      <w:rFonts w:eastAsia="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Monika Nikolaus</cp:lastModifiedBy>
  <cp:revision>2</cp:revision>
  <dcterms:created xsi:type="dcterms:W3CDTF">2019-08-07T08:37:00Z</dcterms:created>
  <dcterms:modified xsi:type="dcterms:W3CDTF">2019-08-07T08:37:00Z</dcterms:modified>
</cp:coreProperties>
</file>