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814187" w:rsidP="0081418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Thomsonscher</w:t>
            </w:r>
            <w:proofErr w:type="spellEnd"/>
            <w:r>
              <w:rPr>
                <w:b/>
                <w:sz w:val="28"/>
                <w:szCs w:val="28"/>
              </w:rPr>
              <w:t xml:space="preserve"> Ringversuch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9C07A2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3820983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68A1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643E24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0168A1" w:rsidRDefault="000168A1" w:rsidP="000168A1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8A220A" w:rsidRDefault="00B14E85" w:rsidP="00E717C5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4245997" cy="3184498"/>
            <wp:effectExtent l="19050" t="19050" r="21590" b="16510"/>
            <wp:docPr id="2" name="Grafik 2" descr="E:\EigeneDateien\Fachberatung\Verordnungen Gesetze Anweisungen Durchführungsbestimmungen\Sicherheitsbestimmungen\Gefährdungsbeurteilung\Thomsonscher Ringvers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igeneDateien\Fachberatung\Verordnungen Gesetze Anweisungen Durchführungsbestimmungen\Sicherheitsbestimmungen\Gefährdungsbeurteilung\Thomsonscher Ringversu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40" cy="3197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2B7B" w:rsidRPr="000168A1" w:rsidRDefault="00B22B7B" w:rsidP="00F7335A">
      <w:pPr>
        <w:spacing w:after="0" w:line="240" w:lineRule="auto"/>
        <w:rPr>
          <w:noProof/>
          <w:sz w:val="12"/>
        </w:rPr>
      </w:pPr>
    </w:p>
    <w:p w:rsidR="009170D8" w:rsidRDefault="009712FA" w:rsidP="009170D8">
      <w:pPr>
        <w:spacing w:after="120" w:line="240" w:lineRule="auto"/>
      </w:pPr>
      <w:r>
        <w:t>Einstellbare</w:t>
      </w:r>
      <w:r w:rsidR="00B22B7B">
        <w:t>, belastbare</w:t>
      </w:r>
      <w:r>
        <w:t xml:space="preserve"> </w:t>
      </w:r>
      <w:r w:rsidR="00B22B7B">
        <w:t>Wechsel</w:t>
      </w:r>
      <w:r>
        <w:t>spannungsquelle</w:t>
      </w:r>
      <w:r w:rsidR="00B14E85">
        <w:t xml:space="preserve"> (&lt;</w:t>
      </w:r>
      <w:r w:rsidR="000168A1">
        <w:t xml:space="preserve"> </w:t>
      </w:r>
      <w:r w:rsidR="00B14E85">
        <w:t>25</w:t>
      </w:r>
      <w:r w:rsidR="00125770">
        <w:t> </w:t>
      </w:r>
      <w:r w:rsidR="00B14E85">
        <w:t>V)</w:t>
      </w:r>
      <w:r w:rsidR="00B22B7B">
        <w:t xml:space="preserve">, </w:t>
      </w:r>
      <w:r w:rsidR="00B14E85">
        <w:t>Spule 75 Windungen,</w:t>
      </w:r>
      <w:r w:rsidR="00B22B7B">
        <w:t xml:space="preserve"> </w:t>
      </w:r>
      <w:r w:rsidR="00B14E85">
        <w:t>2 lange</w:t>
      </w:r>
      <w:r w:rsidR="00926E28">
        <w:t>, übereinander gestellte</w:t>
      </w:r>
      <w:r w:rsidR="00B14E85">
        <w:t xml:space="preserve"> Eisenkerne</w:t>
      </w:r>
      <w:r w:rsidR="000F70E7">
        <w:t xml:space="preserve"> gleicher Querschnittsfläche</w:t>
      </w:r>
      <w:r w:rsidR="00B14E85">
        <w:t>, Aluminiumring, Taster, Klemme zur Befestigung der Spule.</w:t>
      </w:r>
    </w:p>
    <w:p w:rsidR="00633655" w:rsidRDefault="00B22B7B" w:rsidP="000168A1">
      <w:pPr>
        <w:spacing w:after="0" w:line="240" w:lineRule="auto"/>
      </w:pPr>
      <w:r>
        <w:t>Beim Versuch i</w:t>
      </w:r>
      <w:r w:rsidR="00B14E85">
        <w:t>st zu beachten, dass die</w:t>
      </w:r>
      <w:r>
        <w:t xml:space="preserve"> auf der Spule aufgedruckte maximal zulässige Stromstärke</w:t>
      </w:r>
      <w:r w:rsidR="001C6879">
        <w:t xml:space="preserve"> </w:t>
      </w:r>
      <w:r w:rsidR="00B14E85">
        <w:t>kurzzeitig</w:t>
      </w:r>
      <w:r w:rsidR="001C6879">
        <w:t xml:space="preserve"> überschritten wird. </w:t>
      </w:r>
      <w:r w:rsidR="00B14E85">
        <w:t>Um eine thermische Überlastung der Spule zu verhindern, sollte durch einen in Reihe geschalteten Taster jeweils ein nur kurzer Stromstoß erzeugt werden.</w:t>
      </w:r>
    </w:p>
    <w:p w:rsidR="000168A1" w:rsidRDefault="000168A1" w:rsidP="000168A1">
      <w:pPr>
        <w:spacing w:after="0" w:line="240" w:lineRule="auto"/>
      </w:pPr>
    </w:p>
    <w:p w:rsidR="00F7335A" w:rsidRDefault="00F7335A" w:rsidP="000168A1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9C07A2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1611704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68A1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B14E85">
        <w:rPr>
          <w:rFonts w:ascii="MS Gothic" w:eastAsia="MS Gothic" w:hAnsi="MS Gothic" w:hint="eastAsia"/>
        </w:rPr>
        <w:t>☐</w:t>
      </w:r>
      <w:r w:rsidR="00B14E85">
        <w:t xml:space="preserve"> </w:t>
      </w:r>
      <w:r w:rsidR="00F7335A">
        <w:t xml:space="preserve">elektrisch </w:t>
      </w:r>
      <w:r w:rsidR="000F0165">
        <w:tab/>
      </w:r>
      <w:r w:rsidR="00B14E8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r w:rsidR="0055021C"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0168A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0168A1">
        <w:tc>
          <w:tcPr>
            <w:tcW w:w="3227" w:type="dxa"/>
            <w:shd w:val="clear" w:color="auto" w:fill="auto"/>
          </w:tcPr>
          <w:p w:rsidR="00F7335A" w:rsidRPr="00493E31" w:rsidRDefault="00B14E85" w:rsidP="0055021C">
            <w:pPr>
              <w:spacing w:after="0" w:line="240" w:lineRule="auto"/>
            </w:pPr>
            <w:r>
              <w:t xml:space="preserve">Verletzung durch den bisweilen mehrere Meter hoch fliegenden Ring </w:t>
            </w:r>
          </w:p>
        </w:tc>
        <w:tc>
          <w:tcPr>
            <w:tcW w:w="5953" w:type="dxa"/>
            <w:shd w:val="clear" w:color="auto" w:fill="auto"/>
          </w:tcPr>
          <w:p w:rsidR="00201DB3" w:rsidRDefault="00B14E85" w:rsidP="000168A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Mit Bedacht von Versuch zu Versuch die Wechselspannung erhöhen</w:t>
            </w:r>
            <w:r w:rsidR="001C6879">
              <w:t>.</w:t>
            </w:r>
          </w:p>
          <w:p w:rsidR="00B14E85" w:rsidRDefault="00B14E85" w:rsidP="000168A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Ausreichend Abstand einnehmen.</w:t>
            </w:r>
          </w:p>
          <w:p w:rsidR="00125770" w:rsidRPr="00493E31" w:rsidRDefault="00125770" w:rsidP="000168A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Insbesondere niemals über den Versuch beugen.</w:t>
            </w:r>
          </w:p>
        </w:tc>
      </w:tr>
    </w:tbl>
    <w:p w:rsidR="000168A1" w:rsidRDefault="000168A1" w:rsidP="000168A1">
      <w:pPr>
        <w:spacing w:after="0" w:line="240" w:lineRule="auto"/>
      </w:pPr>
    </w:p>
    <w:p w:rsidR="000168A1" w:rsidRDefault="009C07A2" w:rsidP="000168A1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8A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168A1" w:rsidRPr="0010479B">
        <w:rPr>
          <w:szCs w:val="20"/>
        </w:rPr>
        <w:t xml:space="preserve"> </w:t>
      </w:r>
      <w:r w:rsidR="000168A1">
        <w:rPr>
          <w:szCs w:val="20"/>
        </w:rPr>
        <w:t>Unterrichtliche Rahmenbedingungen (</w:t>
      </w:r>
      <w:r w:rsidR="00FE0ADD">
        <w:rPr>
          <w:szCs w:val="20"/>
        </w:rPr>
        <w:t>Lerngruppe</w:t>
      </w:r>
      <w:r w:rsidR="000168A1">
        <w:rPr>
          <w:szCs w:val="20"/>
        </w:rPr>
        <w:t>, Unterrichtsraum,…) wurden berücksichtigt.</w:t>
      </w:r>
    </w:p>
    <w:p w:rsidR="00987170" w:rsidRDefault="00987170" w:rsidP="00F7335A">
      <w:pPr>
        <w:spacing w:after="0" w:line="240" w:lineRule="auto"/>
        <w:rPr>
          <w:b/>
        </w:rPr>
      </w:pPr>
    </w:p>
    <w:p w:rsidR="000168A1" w:rsidRDefault="00775BEE" w:rsidP="000168A1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633655">
        <w:rPr>
          <w:b/>
        </w:rPr>
        <w:t>:</w:t>
      </w:r>
    </w:p>
    <w:p w:rsidR="00F7335A" w:rsidRPr="00633655" w:rsidRDefault="00926E28" w:rsidP="000168A1">
      <w:pPr>
        <w:spacing w:after="120" w:line="240" w:lineRule="auto"/>
        <w:rPr>
          <w:b/>
        </w:rPr>
      </w:pPr>
      <w:r>
        <w:t>Bei Wechselspannungen &gt; 25</w:t>
      </w:r>
      <w:r w:rsidR="00C325A6">
        <w:t> </w:t>
      </w:r>
      <w:bookmarkStart w:id="0" w:name="_GoBack"/>
      <w:bookmarkEnd w:id="0"/>
      <w:r>
        <w:t>V ist mit Sicherheitsexperimentierkabeln zu arbeiten.</w:t>
      </w:r>
    </w:p>
    <w:sectPr w:rsidR="00F7335A" w:rsidRPr="00633655" w:rsidSect="00D8025D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A2" w:rsidRDefault="009C07A2" w:rsidP="00C00502">
      <w:pPr>
        <w:spacing w:after="0" w:line="240" w:lineRule="auto"/>
      </w:pPr>
      <w:r>
        <w:separator/>
      </w:r>
    </w:p>
  </w:endnote>
  <w:endnote w:type="continuationSeparator" w:id="0">
    <w:p w:rsidR="009C07A2" w:rsidRDefault="009C07A2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A2" w:rsidRDefault="009C07A2" w:rsidP="00C00502">
      <w:pPr>
        <w:spacing w:after="0" w:line="240" w:lineRule="auto"/>
      </w:pPr>
      <w:r>
        <w:separator/>
      </w:r>
    </w:p>
  </w:footnote>
  <w:footnote w:type="continuationSeparator" w:id="0">
    <w:p w:rsidR="009C07A2" w:rsidRDefault="009C07A2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C59DE">
      <w:rPr>
        <w:noProof/>
      </w:rPr>
      <w:drawing>
        <wp:inline distT="0" distB="0" distL="0" distR="0">
          <wp:extent cx="1257300" cy="57975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CFC"/>
    <w:multiLevelType w:val="hybridMultilevel"/>
    <w:tmpl w:val="649E7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A5A0D"/>
    <w:multiLevelType w:val="hybridMultilevel"/>
    <w:tmpl w:val="F7369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040F0"/>
    <w:rsid w:val="000168A1"/>
    <w:rsid w:val="00025DBC"/>
    <w:rsid w:val="00030768"/>
    <w:rsid w:val="000307DF"/>
    <w:rsid w:val="00044DC4"/>
    <w:rsid w:val="00076842"/>
    <w:rsid w:val="00085247"/>
    <w:rsid w:val="000873A7"/>
    <w:rsid w:val="000A7D6C"/>
    <w:rsid w:val="000B4785"/>
    <w:rsid w:val="000B6B40"/>
    <w:rsid w:val="000D3826"/>
    <w:rsid w:val="000E625A"/>
    <w:rsid w:val="000F0165"/>
    <w:rsid w:val="000F70E7"/>
    <w:rsid w:val="00117E2D"/>
    <w:rsid w:val="00125770"/>
    <w:rsid w:val="001549DB"/>
    <w:rsid w:val="00163FCF"/>
    <w:rsid w:val="00166290"/>
    <w:rsid w:val="001B7141"/>
    <w:rsid w:val="001C6879"/>
    <w:rsid w:val="001C72C8"/>
    <w:rsid w:val="001D36E0"/>
    <w:rsid w:val="001F7600"/>
    <w:rsid w:val="00201DB3"/>
    <w:rsid w:val="00220B5F"/>
    <w:rsid w:val="002234DE"/>
    <w:rsid w:val="002865C7"/>
    <w:rsid w:val="002E0716"/>
    <w:rsid w:val="003208CC"/>
    <w:rsid w:val="00371B40"/>
    <w:rsid w:val="003736F8"/>
    <w:rsid w:val="003A702C"/>
    <w:rsid w:val="003D28C6"/>
    <w:rsid w:val="003F3096"/>
    <w:rsid w:val="0040186F"/>
    <w:rsid w:val="00413392"/>
    <w:rsid w:val="00456368"/>
    <w:rsid w:val="00464B85"/>
    <w:rsid w:val="00472E27"/>
    <w:rsid w:val="004914DD"/>
    <w:rsid w:val="00493E31"/>
    <w:rsid w:val="00496D36"/>
    <w:rsid w:val="004E0660"/>
    <w:rsid w:val="00501972"/>
    <w:rsid w:val="00520EE0"/>
    <w:rsid w:val="0055021C"/>
    <w:rsid w:val="00555DEF"/>
    <w:rsid w:val="005773F9"/>
    <w:rsid w:val="005C1660"/>
    <w:rsid w:val="005D182C"/>
    <w:rsid w:val="005F3637"/>
    <w:rsid w:val="00613216"/>
    <w:rsid w:val="00617967"/>
    <w:rsid w:val="0062446B"/>
    <w:rsid w:val="00624D7A"/>
    <w:rsid w:val="00633655"/>
    <w:rsid w:val="00643E24"/>
    <w:rsid w:val="006442C3"/>
    <w:rsid w:val="0066409C"/>
    <w:rsid w:val="006E0775"/>
    <w:rsid w:val="006E07BD"/>
    <w:rsid w:val="006E20FE"/>
    <w:rsid w:val="006F6C1C"/>
    <w:rsid w:val="007415B6"/>
    <w:rsid w:val="00743F3D"/>
    <w:rsid w:val="00750693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805F94"/>
    <w:rsid w:val="00812FF0"/>
    <w:rsid w:val="00814187"/>
    <w:rsid w:val="008262FE"/>
    <w:rsid w:val="00833D6A"/>
    <w:rsid w:val="00843C1E"/>
    <w:rsid w:val="00851D7F"/>
    <w:rsid w:val="00851E4D"/>
    <w:rsid w:val="00896D23"/>
    <w:rsid w:val="008A220A"/>
    <w:rsid w:val="008C59DE"/>
    <w:rsid w:val="008C7436"/>
    <w:rsid w:val="008D609B"/>
    <w:rsid w:val="008F3EA4"/>
    <w:rsid w:val="008F7253"/>
    <w:rsid w:val="008F7E88"/>
    <w:rsid w:val="009067E6"/>
    <w:rsid w:val="009170D8"/>
    <w:rsid w:val="009246E2"/>
    <w:rsid w:val="00926E28"/>
    <w:rsid w:val="00927324"/>
    <w:rsid w:val="00937736"/>
    <w:rsid w:val="009547BD"/>
    <w:rsid w:val="00970010"/>
    <w:rsid w:val="009712FA"/>
    <w:rsid w:val="00987170"/>
    <w:rsid w:val="009C07A2"/>
    <w:rsid w:val="00A03167"/>
    <w:rsid w:val="00A05F86"/>
    <w:rsid w:val="00A113E6"/>
    <w:rsid w:val="00A2556B"/>
    <w:rsid w:val="00A62C47"/>
    <w:rsid w:val="00A675A5"/>
    <w:rsid w:val="00A93ECC"/>
    <w:rsid w:val="00AB1571"/>
    <w:rsid w:val="00AC3FEB"/>
    <w:rsid w:val="00B14E85"/>
    <w:rsid w:val="00B22B7B"/>
    <w:rsid w:val="00B303D2"/>
    <w:rsid w:val="00B41A45"/>
    <w:rsid w:val="00B775DD"/>
    <w:rsid w:val="00B84BE0"/>
    <w:rsid w:val="00BA0F5E"/>
    <w:rsid w:val="00BA32C0"/>
    <w:rsid w:val="00BB3F7A"/>
    <w:rsid w:val="00BC6D31"/>
    <w:rsid w:val="00C00502"/>
    <w:rsid w:val="00C0191A"/>
    <w:rsid w:val="00C163AF"/>
    <w:rsid w:val="00C31D67"/>
    <w:rsid w:val="00C325A6"/>
    <w:rsid w:val="00C7642E"/>
    <w:rsid w:val="00C76C9E"/>
    <w:rsid w:val="00C8478F"/>
    <w:rsid w:val="00CB3127"/>
    <w:rsid w:val="00CC73B5"/>
    <w:rsid w:val="00CC787F"/>
    <w:rsid w:val="00CF00AD"/>
    <w:rsid w:val="00D143F0"/>
    <w:rsid w:val="00D53F75"/>
    <w:rsid w:val="00D8025D"/>
    <w:rsid w:val="00D822D3"/>
    <w:rsid w:val="00DA5F90"/>
    <w:rsid w:val="00DC5838"/>
    <w:rsid w:val="00E0465C"/>
    <w:rsid w:val="00E2456C"/>
    <w:rsid w:val="00E441DC"/>
    <w:rsid w:val="00E522C5"/>
    <w:rsid w:val="00E717C5"/>
    <w:rsid w:val="00E75C10"/>
    <w:rsid w:val="00EE74C5"/>
    <w:rsid w:val="00EF3602"/>
    <w:rsid w:val="00F23079"/>
    <w:rsid w:val="00F23244"/>
    <w:rsid w:val="00F257F0"/>
    <w:rsid w:val="00F52653"/>
    <w:rsid w:val="00F63D0A"/>
    <w:rsid w:val="00F707F5"/>
    <w:rsid w:val="00F7335A"/>
    <w:rsid w:val="00F84373"/>
    <w:rsid w:val="00F97927"/>
    <w:rsid w:val="00FA299D"/>
    <w:rsid w:val="00FB2632"/>
    <w:rsid w:val="00FB269A"/>
    <w:rsid w:val="00FC3125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C7AF-404C-49F7-A3C4-25BD463D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Buchhold</dc:creator>
  <cp:lastModifiedBy>Katharina Franke</cp:lastModifiedBy>
  <cp:revision>7</cp:revision>
  <cp:lastPrinted>2018-02-06T18:47:00Z</cp:lastPrinted>
  <dcterms:created xsi:type="dcterms:W3CDTF">2018-04-27T09:11:00Z</dcterms:created>
  <dcterms:modified xsi:type="dcterms:W3CDTF">2019-02-13T11:39:00Z</dcterms:modified>
</cp:coreProperties>
</file>